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168"/>
        <w:gridCol w:w="6408"/>
      </w:tblGrid>
      <w:tr w:rsidR="004840F2" w:rsidRPr="00010EF6" w:rsidTr="004F302F">
        <w:tc>
          <w:tcPr>
            <w:tcW w:w="9576" w:type="dxa"/>
            <w:gridSpan w:val="2"/>
            <w:shd w:val="clear" w:color="auto" w:fill="548DD4" w:themeFill="text2" w:themeFillTint="99"/>
          </w:tcPr>
          <w:p w:rsidR="004840F2" w:rsidRPr="00010EF6" w:rsidRDefault="004F302F" w:rsidP="004F302F">
            <w:pPr>
              <w:rPr>
                <w:rFonts w:ascii="Arial Narrow" w:hAnsi="Arial Narrow" w:cs="Tahoma"/>
                <w:b/>
              </w:rPr>
            </w:pPr>
            <w:r w:rsidRPr="00010EF6">
              <w:rPr>
                <w:rFonts w:ascii="Arial Narrow" w:hAnsi="Arial Narrow" w:cs="Tahoma"/>
                <w:b/>
                <w:noProof/>
                <w:color w:val="FFFFFF" w:themeColor="background1"/>
              </w:rPr>
              <mc:AlternateContent>
                <mc:Choice Requires="wps">
                  <w:drawing>
                    <wp:anchor distT="0" distB="0" distL="114300" distR="114300" simplePos="0" relativeHeight="251659264" behindDoc="0" locked="0" layoutInCell="1" allowOverlap="1" wp14:anchorId="4D29779A" wp14:editId="4ADE2EA1">
                      <wp:simplePos x="0" y="0"/>
                      <wp:positionH relativeFrom="column">
                        <wp:posOffset>-76200</wp:posOffset>
                      </wp:positionH>
                      <wp:positionV relativeFrom="paragraph">
                        <wp:posOffset>-539750</wp:posOffset>
                      </wp:positionV>
                      <wp:extent cx="4930140" cy="434340"/>
                      <wp:effectExtent l="0" t="0" r="3810" b="3810"/>
                      <wp:wrapNone/>
                      <wp:docPr id="1" name="Text Box 1"/>
                      <wp:cNvGraphicFramePr/>
                      <a:graphic xmlns:a="http://schemas.openxmlformats.org/drawingml/2006/main">
                        <a:graphicData uri="http://schemas.microsoft.com/office/word/2010/wordprocessingShape">
                          <wps:wsp>
                            <wps:cNvSpPr txBox="1"/>
                            <wps:spPr>
                              <a:xfrm>
                                <a:off x="0" y="0"/>
                                <a:ext cx="4930140" cy="4343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F302F" w:rsidRPr="004F302F" w:rsidRDefault="004F302F" w:rsidP="004F302F">
                                  <w:pPr>
                                    <w:rPr>
                                      <w:rFonts w:ascii="Palatino Linotype" w:hAnsi="Palatino Linotype"/>
                                      <w:sz w:val="36"/>
                                      <w:szCs w:val="36"/>
                                    </w:rPr>
                                  </w:pPr>
                                  <w:r w:rsidRPr="004F302F">
                                    <w:rPr>
                                      <w:rFonts w:ascii="Palatino Linotype" w:hAnsi="Palatino Linotype"/>
                                      <w:sz w:val="36"/>
                                      <w:szCs w:val="36"/>
                                    </w:rPr>
                                    <w:t>Grant Application Guidelines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pt;margin-top:-42.5pt;width:388.2pt;height:34.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" fillcolor="white [3201]" stroked="f" strokeweight=".5pt">
                      <v:textbox>
                        <w:txbxContent>
                          <w:p w:rsidR="004F302F" w:rsidRPr="004F302F" w:rsidRDefault="004F302F" w:rsidP="004F302F">
                            <w:pPr>
                              <w:rPr>
                                <w:rFonts w:ascii="Palatino Linotype" w:hAnsi="Palatino Linotype"/>
                                <w:sz w:val="36"/>
                                <w:szCs w:val="36"/>
                              </w:rPr>
                            </w:pPr>
                            <w:r w:rsidRPr="004F302F">
                              <w:rPr>
                                <w:rFonts w:ascii="Palatino Linotype" w:hAnsi="Palatino Linotype"/>
                                <w:sz w:val="36"/>
                                <w:szCs w:val="36"/>
                              </w:rPr>
                              <w:t>Grant Application Guidelines</w:t>
                            </w:r>
                          </w:p>
                        </w:txbxContent>
                      </v:textbox>
                    </v:shape>
                  </w:pict>
                </mc:Fallback>
              </mc:AlternateContent>
            </w:r>
            <w:r w:rsidR="004840F2" w:rsidRPr="00010EF6">
              <w:rPr>
                <w:rFonts w:ascii="Arial Narrow" w:hAnsi="Arial Narrow" w:cs="Tahoma"/>
                <w:b/>
                <w:color w:val="FFFFFF" w:themeColor="background1"/>
              </w:rPr>
              <w:t>Grant Summary</w:t>
            </w:r>
          </w:p>
        </w:tc>
      </w:tr>
      <w:tr w:rsidR="004840F2" w:rsidRPr="00010EF6" w:rsidTr="004F302F">
        <w:tc>
          <w:tcPr>
            <w:tcW w:w="3168" w:type="dxa"/>
            <w:shd w:val="clear" w:color="auto" w:fill="DBE5F1" w:themeFill="accent1" w:themeFillTint="33"/>
          </w:tcPr>
          <w:p w:rsidR="004840F2" w:rsidRPr="00010EF6" w:rsidRDefault="004840F2" w:rsidP="004F302F">
            <w:pPr>
              <w:rPr>
                <w:rFonts w:ascii="Arial Narrow" w:hAnsi="Arial Narrow"/>
                <w:b/>
              </w:rPr>
            </w:pPr>
            <w:r w:rsidRPr="00010EF6">
              <w:rPr>
                <w:rFonts w:ascii="Arial Narrow" w:hAnsi="Arial Narrow"/>
                <w:b/>
              </w:rPr>
              <w:t>Grant description</w:t>
            </w:r>
          </w:p>
        </w:tc>
        <w:tc>
          <w:tcPr>
            <w:tcW w:w="6408" w:type="dxa"/>
          </w:tcPr>
          <w:p w:rsidR="004840F2" w:rsidRPr="00010EF6" w:rsidRDefault="000B423E" w:rsidP="00A55E9F">
            <w:pPr>
              <w:rPr>
                <w:rFonts w:ascii="Arial Narrow" w:hAnsi="Arial Narrow" w:cs="Tahoma"/>
                <w:sz w:val="24"/>
                <w:szCs w:val="24"/>
              </w:rPr>
            </w:pPr>
            <w:r w:rsidRPr="00010EF6">
              <w:rPr>
                <w:rFonts w:ascii="Arial Narrow" w:eastAsia="Times New Roman" w:hAnsi="Arial Narrow" w:cs="Times New Roman"/>
                <w:color w:val="000000"/>
                <w:sz w:val="24"/>
                <w:szCs w:val="24"/>
                <w:lang w:val="en"/>
              </w:rPr>
              <w:t>The Greater Milwaukee Foundation is requesting proposals from resident</w:t>
            </w:r>
            <w:r w:rsidR="00A55E9F">
              <w:rPr>
                <w:rFonts w:ascii="Arial Narrow" w:eastAsia="Times New Roman" w:hAnsi="Arial Narrow" w:cs="Times New Roman"/>
                <w:color w:val="000000"/>
                <w:sz w:val="24"/>
                <w:szCs w:val="24"/>
                <w:lang w:val="en"/>
              </w:rPr>
              <w:t xml:space="preserve"> groups</w:t>
            </w:r>
            <w:r w:rsidRPr="00010EF6">
              <w:rPr>
                <w:rFonts w:ascii="Arial Narrow" w:eastAsia="Times New Roman" w:hAnsi="Arial Narrow" w:cs="Times New Roman"/>
                <w:color w:val="000000"/>
                <w:sz w:val="24"/>
                <w:szCs w:val="24"/>
                <w:lang w:val="en"/>
              </w:rPr>
              <w:t xml:space="preserve">, grassroots groups and community and faith-based organizations that provide </w:t>
            </w:r>
            <w:r w:rsidRPr="00010EF6">
              <w:rPr>
                <w:rFonts w:ascii="Arial Narrow" w:hAnsi="Arial Narrow" w:cs="Tahoma"/>
                <w:sz w:val="24"/>
                <w:szCs w:val="24"/>
              </w:rPr>
              <w:t xml:space="preserve">activities and events </w:t>
            </w:r>
            <w:r w:rsidR="0054054B" w:rsidRPr="00010EF6">
              <w:rPr>
                <w:rFonts w:ascii="Arial Narrow" w:hAnsi="Arial Narrow" w:cs="Tahoma"/>
                <w:sz w:val="24"/>
                <w:szCs w:val="24"/>
              </w:rPr>
              <w:t>that promote peace,</w:t>
            </w:r>
            <w:r w:rsidRPr="00010EF6">
              <w:rPr>
                <w:rFonts w:ascii="Arial Narrow" w:hAnsi="Arial Narrow" w:cs="Tahoma"/>
                <w:sz w:val="24"/>
                <w:szCs w:val="24"/>
              </w:rPr>
              <w:t xml:space="preserve"> community building</w:t>
            </w:r>
            <w:r w:rsidR="0054054B" w:rsidRPr="00010EF6">
              <w:rPr>
                <w:rFonts w:ascii="Arial Narrow" w:hAnsi="Arial Narrow" w:cs="Tahoma"/>
                <w:sz w:val="24"/>
                <w:szCs w:val="24"/>
              </w:rPr>
              <w:t>,</w:t>
            </w:r>
            <w:r w:rsidRPr="00010EF6">
              <w:rPr>
                <w:rFonts w:ascii="Arial Narrow" w:hAnsi="Arial Narrow" w:cs="Tahoma"/>
                <w:sz w:val="24"/>
                <w:szCs w:val="24"/>
              </w:rPr>
              <w:t xml:space="preserve"> support</w:t>
            </w:r>
            <w:r w:rsidR="00751327">
              <w:rPr>
                <w:rFonts w:ascii="Arial Narrow" w:hAnsi="Arial Narrow" w:cs="Tahoma"/>
                <w:sz w:val="24"/>
                <w:szCs w:val="24"/>
              </w:rPr>
              <w:t>s</w:t>
            </w:r>
            <w:r w:rsidRPr="00010EF6">
              <w:rPr>
                <w:rFonts w:ascii="Arial Narrow" w:hAnsi="Arial Narrow" w:cs="Tahoma"/>
                <w:sz w:val="24"/>
                <w:szCs w:val="24"/>
              </w:rPr>
              <w:t xml:space="preserve"> cohesion and build</w:t>
            </w:r>
            <w:r w:rsidR="00751327">
              <w:rPr>
                <w:rFonts w:ascii="Arial Narrow" w:hAnsi="Arial Narrow" w:cs="Tahoma"/>
                <w:sz w:val="24"/>
                <w:szCs w:val="24"/>
              </w:rPr>
              <w:t xml:space="preserve"> </w:t>
            </w:r>
            <w:r w:rsidRPr="00010EF6">
              <w:rPr>
                <w:rFonts w:ascii="Arial Narrow" w:hAnsi="Arial Narrow" w:cs="Tahoma"/>
                <w:sz w:val="24"/>
                <w:szCs w:val="24"/>
              </w:rPr>
              <w:t>social connections among neighbors; social innovation and creativity</w:t>
            </w:r>
            <w:r w:rsidRPr="00010EF6">
              <w:rPr>
                <w:rFonts w:ascii="Arial Narrow" w:eastAsia="Times New Roman" w:hAnsi="Arial Narrow" w:cs="Times New Roman"/>
                <w:color w:val="000000"/>
                <w:sz w:val="24"/>
                <w:szCs w:val="24"/>
                <w:lang w:val="en"/>
              </w:rPr>
              <w:t xml:space="preserve">. </w:t>
            </w:r>
            <w:r w:rsidR="00E14CF7" w:rsidRPr="00010EF6">
              <w:rPr>
                <w:rFonts w:ascii="Arial Narrow" w:hAnsi="Arial Narrow" w:cs="Tahoma"/>
                <w:sz w:val="24"/>
                <w:szCs w:val="24"/>
              </w:rPr>
              <w:t xml:space="preserve"> </w:t>
            </w:r>
            <w:r w:rsidR="003C1F1F" w:rsidRPr="00010EF6">
              <w:rPr>
                <w:rFonts w:ascii="Arial Narrow" w:hAnsi="Arial Narrow" w:cs="Tahoma"/>
                <w:sz w:val="24"/>
                <w:szCs w:val="24"/>
              </w:rPr>
              <w:t xml:space="preserve">The grant will build </w:t>
            </w:r>
            <w:r w:rsidR="00DD5C10" w:rsidRPr="00010EF6">
              <w:rPr>
                <w:rFonts w:ascii="Arial Narrow" w:hAnsi="Arial Narrow" w:cs="Tahoma"/>
                <w:sz w:val="24"/>
                <w:szCs w:val="24"/>
              </w:rPr>
              <w:t>capacity of</w:t>
            </w:r>
            <w:r w:rsidR="003C5BD5" w:rsidRPr="00010EF6">
              <w:rPr>
                <w:rFonts w:ascii="Arial Narrow" w:hAnsi="Arial Narrow" w:cs="Tahoma"/>
                <w:sz w:val="24"/>
                <w:szCs w:val="24"/>
              </w:rPr>
              <w:t xml:space="preserve"> local</w:t>
            </w:r>
            <w:r w:rsidR="00A0082C" w:rsidRPr="00010EF6">
              <w:rPr>
                <w:rFonts w:ascii="Arial Narrow" w:hAnsi="Arial Narrow" w:cs="Tahoma"/>
                <w:sz w:val="24"/>
                <w:szCs w:val="24"/>
              </w:rPr>
              <w:t xml:space="preserve"> </w:t>
            </w:r>
            <w:r w:rsidRPr="00010EF6">
              <w:rPr>
                <w:rFonts w:ascii="Arial Narrow" w:hAnsi="Arial Narrow" w:cs="Tahoma"/>
                <w:sz w:val="24"/>
                <w:szCs w:val="24"/>
              </w:rPr>
              <w:t>formal and informal neighborhood groups who are seeking to take action and have the potential to build and strengthen positive relations</w:t>
            </w:r>
            <w:r w:rsidR="0054054B" w:rsidRPr="00010EF6">
              <w:rPr>
                <w:rFonts w:ascii="Arial Narrow" w:hAnsi="Arial Narrow" w:cs="Tahoma"/>
                <w:sz w:val="24"/>
                <w:szCs w:val="24"/>
              </w:rPr>
              <w:t>hips in neighborhoods right now</w:t>
            </w:r>
            <w:r w:rsidRPr="00010EF6">
              <w:rPr>
                <w:rFonts w:ascii="Arial Narrow" w:hAnsi="Arial Narrow" w:cs="Tahoma"/>
                <w:sz w:val="24"/>
                <w:szCs w:val="24"/>
              </w:rPr>
              <w:t xml:space="preserve"> on the ground</w:t>
            </w:r>
          </w:p>
        </w:tc>
      </w:tr>
      <w:tr w:rsidR="004840F2" w:rsidRPr="00010EF6" w:rsidTr="004F302F">
        <w:tc>
          <w:tcPr>
            <w:tcW w:w="3168" w:type="dxa"/>
            <w:shd w:val="clear" w:color="auto" w:fill="DBE5F1" w:themeFill="accent1" w:themeFillTint="33"/>
          </w:tcPr>
          <w:p w:rsidR="004840F2" w:rsidRPr="00010EF6" w:rsidRDefault="004840F2" w:rsidP="004F302F">
            <w:pPr>
              <w:rPr>
                <w:rFonts w:ascii="Arial Narrow" w:hAnsi="Arial Narrow"/>
                <w:b/>
              </w:rPr>
            </w:pPr>
            <w:r w:rsidRPr="00010EF6">
              <w:rPr>
                <w:rFonts w:ascii="Arial Narrow" w:hAnsi="Arial Narrow"/>
                <w:b/>
              </w:rPr>
              <w:t>Grant amount</w:t>
            </w:r>
          </w:p>
        </w:tc>
        <w:tc>
          <w:tcPr>
            <w:tcW w:w="6408" w:type="dxa"/>
          </w:tcPr>
          <w:p w:rsidR="005E5170" w:rsidRPr="00100DBC" w:rsidRDefault="0054054B" w:rsidP="005E5170">
            <w:pPr>
              <w:pStyle w:val="ListParagraph"/>
              <w:numPr>
                <w:ilvl w:val="0"/>
                <w:numId w:val="5"/>
              </w:numPr>
              <w:rPr>
                <w:rFonts w:ascii="Arial Narrow" w:hAnsi="Arial Narrow" w:cs="Tahoma"/>
                <w:sz w:val="24"/>
                <w:szCs w:val="24"/>
              </w:rPr>
            </w:pPr>
            <w:r w:rsidRPr="00100DBC">
              <w:rPr>
                <w:rFonts w:ascii="Arial Narrow" w:hAnsi="Arial Narrow" w:cs="Tahoma"/>
                <w:sz w:val="24"/>
                <w:szCs w:val="24"/>
              </w:rPr>
              <w:t>Grants range $500 to $5,000</w:t>
            </w:r>
          </w:p>
          <w:p w:rsidR="005E5170" w:rsidRPr="00010EF6" w:rsidRDefault="005E5170" w:rsidP="005E5170">
            <w:pPr>
              <w:ind w:left="360"/>
              <w:rPr>
                <w:rFonts w:ascii="Arial Narrow" w:hAnsi="Arial Narrow"/>
              </w:rPr>
            </w:pPr>
          </w:p>
          <w:p w:rsidR="00F565A7" w:rsidRPr="00010EF6" w:rsidRDefault="00601525" w:rsidP="005E5170">
            <w:pPr>
              <w:ind w:left="360"/>
              <w:rPr>
                <w:rFonts w:ascii="Arial Narrow" w:hAnsi="Arial Narrow" w:cs="Tahoma"/>
              </w:rPr>
            </w:pPr>
            <w:r w:rsidRPr="000A5A0B">
              <w:rPr>
                <w:rFonts w:ascii="Arial Narrow" w:hAnsi="Arial Narrow"/>
                <w:sz w:val="24"/>
                <w:szCs w:val="24"/>
              </w:rPr>
              <w:t>One application ma</w:t>
            </w:r>
            <w:r w:rsidR="0085212A" w:rsidRPr="000A5A0B">
              <w:rPr>
                <w:rFonts w:ascii="Arial Narrow" w:hAnsi="Arial Narrow"/>
                <w:sz w:val="24"/>
                <w:szCs w:val="24"/>
              </w:rPr>
              <w:t xml:space="preserve">y be submitted per eligible </w:t>
            </w:r>
            <w:r w:rsidR="005E5170" w:rsidRPr="000A5A0B">
              <w:rPr>
                <w:rFonts w:ascii="Arial Narrow" w:hAnsi="Arial Narrow"/>
                <w:sz w:val="24"/>
                <w:szCs w:val="24"/>
              </w:rPr>
              <w:t>group</w:t>
            </w:r>
            <w:r w:rsidR="00E34929" w:rsidRPr="00010EF6">
              <w:rPr>
                <w:rFonts w:ascii="Arial Narrow" w:hAnsi="Arial Narrow"/>
              </w:rPr>
              <w:t>.</w:t>
            </w:r>
            <w:r w:rsidRPr="00010EF6">
              <w:rPr>
                <w:rFonts w:ascii="Arial Narrow" w:hAnsi="Arial Narrow"/>
              </w:rPr>
              <w:t xml:space="preserve">  </w:t>
            </w:r>
          </w:p>
        </w:tc>
      </w:tr>
      <w:tr w:rsidR="004840F2" w:rsidRPr="00010EF6" w:rsidTr="004F302F">
        <w:tc>
          <w:tcPr>
            <w:tcW w:w="3168" w:type="dxa"/>
            <w:shd w:val="clear" w:color="auto" w:fill="DBE5F1" w:themeFill="accent1" w:themeFillTint="33"/>
          </w:tcPr>
          <w:p w:rsidR="004840F2" w:rsidRPr="00010EF6" w:rsidRDefault="004840F2" w:rsidP="004F302F">
            <w:pPr>
              <w:rPr>
                <w:rFonts w:ascii="Arial Narrow" w:hAnsi="Arial Narrow"/>
                <w:b/>
              </w:rPr>
            </w:pPr>
            <w:r w:rsidRPr="00010EF6">
              <w:rPr>
                <w:rFonts w:ascii="Arial Narrow" w:hAnsi="Arial Narrow"/>
                <w:b/>
              </w:rPr>
              <w:t>Eligibility</w:t>
            </w:r>
          </w:p>
        </w:tc>
        <w:tc>
          <w:tcPr>
            <w:tcW w:w="6408" w:type="dxa"/>
          </w:tcPr>
          <w:p w:rsidR="000B423E" w:rsidRPr="00010EF6" w:rsidRDefault="000B423E" w:rsidP="00331E7F">
            <w:pPr>
              <w:rPr>
                <w:rFonts w:ascii="Arial Narrow" w:hAnsi="Arial Narrow" w:cs="Tahoma"/>
                <w:sz w:val="24"/>
                <w:szCs w:val="24"/>
              </w:rPr>
            </w:pPr>
            <w:r w:rsidRPr="00010EF6">
              <w:rPr>
                <w:rFonts w:ascii="Arial Narrow" w:hAnsi="Arial Narrow" w:cs="Tahoma"/>
                <w:sz w:val="24"/>
                <w:szCs w:val="24"/>
              </w:rPr>
              <w:t>The fund will consider applications from grassroots groups,</w:t>
            </w:r>
            <w:r w:rsidR="00751327">
              <w:rPr>
                <w:rFonts w:ascii="Arial Narrow" w:hAnsi="Arial Narrow" w:cs="Tahoma"/>
                <w:sz w:val="24"/>
                <w:szCs w:val="24"/>
              </w:rPr>
              <w:t xml:space="preserve"> and</w:t>
            </w:r>
            <w:r w:rsidRPr="00010EF6">
              <w:rPr>
                <w:rFonts w:ascii="Arial Narrow" w:hAnsi="Arial Narrow" w:cs="Tahoma"/>
                <w:sz w:val="24"/>
                <w:szCs w:val="24"/>
              </w:rPr>
              <w:t xml:space="preserve"> neighborhood-based groups both formal and informal</w:t>
            </w:r>
            <w:r w:rsidR="00751327">
              <w:rPr>
                <w:rFonts w:ascii="Arial Narrow" w:hAnsi="Arial Narrow" w:cs="Tahoma"/>
                <w:sz w:val="24"/>
                <w:szCs w:val="24"/>
              </w:rPr>
              <w:t>.</w:t>
            </w:r>
          </w:p>
          <w:p w:rsidR="00331E7F" w:rsidRPr="00010EF6" w:rsidRDefault="00331E7F" w:rsidP="00331E7F">
            <w:pPr>
              <w:rPr>
                <w:rFonts w:ascii="Arial Narrow" w:hAnsi="Arial Narrow" w:cs="Tahoma"/>
                <w:sz w:val="24"/>
                <w:szCs w:val="24"/>
              </w:rPr>
            </w:pPr>
          </w:p>
          <w:p w:rsidR="00331E7F" w:rsidRPr="00010EF6" w:rsidRDefault="00331E7F" w:rsidP="00331E7F">
            <w:pPr>
              <w:rPr>
                <w:rFonts w:ascii="Arial Narrow" w:eastAsia="Calibri" w:hAnsi="Arial Narrow" w:cs="Times New Roman"/>
                <w:sz w:val="24"/>
                <w:szCs w:val="24"/>
              </w:rPr>
            </w:pPr>
            <w:r w:rsidRPr="00010EF6">
              <w:rPr>
                <w:rFonts w:ascii="Arial Narrow" w:eastAsia="Calibri" w:hAnsi="Arial Narrow" w:cs="Times New Roman"/>
                <w:sz w:val="24"/>
                <w:szCs w:val="24"/>
              </w:rPr>
              <w:t xml:space="preserve">Organizations must be considered charitable organizations as determined by the IRS internal revenue code 501(c)(3).  </w:t>
            </w:r>
            <w:r w:rsidRPr="00010EF6">
              <w:rPr>
                <w:rFonts w:ascii="Arial Narrow" w:eastAsia="Calibri" w:hAnsi="Arial Narrow" w:cs="Times New Roman"/>
                <w:b/>
                <w:i/>
                <w:sz w:val="24"/>
                <w:szCs w:val="24"/>
              </w:rPr>
              <w:t>Please note</w:t>
            </w:r>
            <w:r w:rsidR="00751327">
              <w:rPr>
                <w:rFonts w:ascii="Arial Narrow" w:eastAsia="Calibri" w:hAnsi="Arial Narrow" w:cs="Times New Roman"/>
                <w:b/>
                <w:i/>
                <w:sz w:val="24"/>
                <w:szCs w:val="24"/>
              </w:rPr>
              <w:t>:</w:t>
            </w:r>
            <w:r w:rsidRPr="00010EF6">
              <w:rPr>
                <w:rFonts w:ascii="Arial Narrow" w:eastAsia="Calibri" w:hAnsi="Arial Narrow" w:cs="Times New Roman"/>
                <w:sz w:val="24"/>
                <w:szCs w:val="24"/>
              </w:rPr>
              <w:t xml:space="preserve"> </w:t>
            </w:r>
            <w:r w:rsidR="00751327">
              <w:rPr>
                <w:rFonts w:ascii="Arial Narrow" w:eastAsia="Calibri" w:hAnsi="Arial Narrow" w:cs="Times New Roman"/>
                <w:sz w:val="24"/>
                <w:szCs w:val="24"/>
              </w:rPr>
              <w:t>O</w:t>
            </w:r>
            <w:r w:rsidRPr="00010EF6">
              <w:rPr>
                <w:rFonts w:ascii="Arial Narrow" w:eastAsia="Calibri" w:hAnsi="Arial Narrow" w:cs="Times New Roman"/>
                <w:sz w:val="24"/>
                <w:szCs w:val="24"/>
              </w:rPr>
              <w:t>rganizations that do not have this designation may use a fiscal sponsor (organization recognized as a 501(c</w:t>
            </w:r>
            <w:r w:rsidR="001D7CB3" w:rsidRPr="00010EF6">
              <w:rPr>
                <w:rFonts w:ascii="Arial Narrow" w:eastAsia="Calibri" w:hAnsi="Arial Narrow" w:cs="Times New Roman"/>
                <w:sz w:val="24"/>
                <w:szCs w:val="24"/>
              </w:rPr>
              <w:t>) (</w:t>
            </w:r>
            <w:r w:rsidRPr="00010EF6">
              <w:rPr>
                <w:rFonts w:ascii="Arial Narrow" w:eastAsia="Calibri" w:hAnsi="Arial Narrow" w:cs="Times New Roman"/>
                <w:sz w:val="24"/>
                <w:szCs w:val="24"/>
              </w:rPr>
              <w:t xml:space="preserve">3) charitable entity) to serve as the recipient and manager of the grant.  Eligible nonprofits are required to have board membership that is at least 10 percent people of color.  The term “people of color” refers to all persons who are not categorized as white by the U.S. Census.  </w:t>
            </w:r>
          </w:p>
          <w:p w:rsidR="004840F2" w:rsidRPr="00010EF6" w:rsidRDefault="004840F2" w:rsidP="00331E7F">
            <w:pPr>
              <w:rPr>
                <w:rFonts w:ascii="Arial Narrow" w:hAnsi="Arial Narrow" w:cs="Tahoma"/>
              </w:rPr>
            </w:pPr>
          </w:p>
        </w:tc>
      </w:tr>
      <w:tr w:rsidR="004840F2" w:rsidRPr="00010EF6" w:rsidTr="004F302F">
        <w:tc>
          <w:tcPr>
            <w:tcW w:w="3168" w:type="dxa"/>
            <w:shd w:val="clear" w:color="auto" w:fill="DBE5F1" w:themeFill="accent1" w:themeFillTint="33"/>
          </w:tcPr>
          <w:p w:rsidR="004840F2" w:rsidRPr="00010EF6" w:rsidRDefault="004840F2" w:rsidP="004F302F">
            <w:pPr>
              <w:rPr>
                <w:rFonts w:ascii="Arial Narrow" w:hAnsi="Arial Narrow"/>
                <w:b/>
              </w:rPr>
            </w:pPr>
            <w:r w:rsidRPr="00010EF6">
              <w:rPr>
                <w:rFonts w:ascii="Arial Narrow" w:hAnsi="Arial Narrow"/>
                <w:b/>
              </w:rPr>
              <w:t>Target audience to be served</w:t>
            </w:r>
          </w:p>
        </w:tc>
        <w:tc>
          <w:tcPr>
            <w:tcW w:w="6408" w:type="dxa"/>
          </w:tcPr>
          <w:p w:rsidR="004840F2" w:rsidRPr="00010EF6" w:rsidRDefault="000B423E" w:rsidP="00DF7E51">
            <w:pPr>
              <w:rPr>
                <w:rFonts w:ascii="Arial Narrow" w:hAnsi="Arial Narrow" w:cs="Tahoma"/>
              </w:rPr>
            </w:pPr>
            <w:r w:rsidRPr="00010EF6">
              <w:rPr>
                <w:rFonts w:ascii="Arial Narrow" w:hAnsi="Arial Narrow" w:cs="Tahoma"/>
                <w:sz w:val="24"/>
                <w:szCs w:val="24"/>
              </w:rPr>
              <w:t>Grants are intended to support the work of formal and informal groups formed by everyday people out of their mutual self-interest.  We are looking for ideas that originate with a group of people from a neighborhood and that are being moved into action through educational events, group or youth activities, festivals, performances, picnics, recreational and block level activities, and those which build resident leadership</w:t>
            </w:r>
            <w:r w:rsidR="00E129AA" w:rsidRPr="00010EF6">
              <w:rPr>
                <w:rFonts w:ascii="Arial Narrow" w:hAnsi="Arial Narrow" w:cs="Tahoma"/>
              </w:rPr>
              <w:t>.</w:t>
            </w:r>
            <w:r w:rsidR="004A604F" w:rsidRPr="00010EF6">
              <w:rPr>
                <w:rFonts w:ascii="Arial Narrow" w:hAnsi="Arial Narrow" w:cs="Tahoma"/>
              </w:rPr>
              <w:t xml:space="preserve"> </w:t>
            </w:r>
          </w:p>
        </w:tc>
      </w:tr>
      <w:tr w:rsidR="004840F2" w:rsidRPr="00010EF6" w:rsidTr="004F302F">
        <w:tc>
          <w:tcPr>
            <w:tcW w:w="3168" w:type="dxa"/>
            <w:shd w:val="clear" w:color="auto" w:fill="DBE5F1" w:themeFill="accent1" w:themeFillTint="33"/>
          </w:tcPr>
          <w:p w:rsidR="004840F2" w:rsidRPr="00010EF6" w:rsidRDefault="004840F2" w:rsidP="004F302F">
            <w:pPr>
              <w:rPr>
                <w:rFonts w:ascii="Arial Narrow" w:hAnsi="Arial Narrow"/>
                <w:b/>
              </w:rPr>
            </w:pPr>
            <w:r w:rsidRPr="00010EF6">
              <w:rPr>
                <w:rFonts w:ascii="Arial Narrow" w:hAnsi="Arial Narrow"/>
                <w:b/>
              </w:rPr>
              <w:t>Application deadline</w:t>
            </w:r>
          </w:p>
        </w:tc>
        <w:tc>
          <w:tcPr>
            <w:tcW w:w="6408" w:type="dxa"/>
          </w:tcPr>
          <w:p w:rsidR="004840F2" w:rsidRPr="00DD2DA7" w:rsidRDefault="00F83323" w:rsidP="000B423E">
            <w:pPr>
              <w:rPr>
                <w:rFonts w:ascii="Arial Narrow" w:hAnsi="Arial Narrow" w:cs="Tahoma"/>
                <w:b/>
                <w:sz w:val="24"/>
                <w:szCs w:val="24"/>
              </w:rPr>
            </w:pPr>
            <w:r w:rsidRPr="00DD2DA7">
              <w:rPr>
                <w:rFonts w:ascii="Arial Narrow" w:hAnsi="Arial Narrow" w:cs="Tahoma"/>
                <w:b/>
                <w:sz w:val="24"/>
                <w:szCs w:val="24"/>
              </w:rPr>
              <w:t>July 2 and August 3, 2018</w:t>
            </w:r>
          </w:p>
        </w:tc>
      </w:tr>
      <w:tr w:rsidR="004840F2" w:rsidRPr="00010EF6" w:rsidTr="004F302F">
        <w:tc>
          <w:tcPr>
            <w:tcW w:w="3168" w:type="dxa"/>
            <w:shd w:val="clear" w:color="auto" w:fill="DBE5F1" w:themeFill="accent1" w:themeFillTint="33"/>
          </w:tcPr>
          <w:p w:rsidR="004840F2" w:rsidRPr="00010EF6" w:rsidRDefault="0085212A" w:rsidP="0085212A">
            <w:pPr>
              <w:rPr>
                <w:rFonts w:ascii="Arial Narrow" w:hAnsi="Arial Narrow"/>
                <w:b/>
              </w:rPr>
            </w:pPr>
            <w:r w:rsidRPr="00010EF6">
              <w:rPr>
                <w:rFonts w:ascii="Arial Narrow" w:hAnsi="Arial Narrow"/>
                <w:b/>
              </w:rPr>
              <w:t xml:space="preserve">Funding notification </w:t>
            </w:r>
          </w:p>
        </w:tc>
        <w:tc>
          <w:tcPr>
            <w:tcW w:w="6408" w:type="dxa"/>
          </w:tcPr>
          <w:p w:rsidR="004840F2" w:rsidRPr="00DD2DA7" w:rsidRDefault="00F83323" w:rsidP="0054054B">
            <w:pPr>
              <w:rPr>
                <w:rFonts w:ascii="Arial Narrow" w:hAnsi="Arial Narrow" w:cs="Tahoma"/>
                <w:b/>
                <w:sz w:val="24"/>
                <w:szCs w:val="24"/>
              </w:rPr>
            </w:pPr>
            <w:r w:rsidRPr="00DD2DA7">
              <w:rPr>
                <w:rFonts w:ascii="Arial Narrow" w:hAnsi="Arial Narrow" w:cs="Tahoma"/>
                <w:b/>
                <w:sz w:val="24"/>
                <w:szCs w:val="24"/>
              </w:rPr>
              <w:t>July 20 and August 17, 2018</w:t>
            </w:r>
          </w:p>
        </w:tc>
      </w:tr>
      <w:tr w:rsidR="004840F2" w:rsidRPr="00010EF6" w:rsidTr="004F302F">
        <w:tc>
          <w:tcPr>
            <w:tcW w:w="3168" w:type="dxa"/>
            <w:shd w:val="clear" w:color="auto" w:fill="DBE5F1" w:themeFill="accent1" w:themeFillTint="33"/>
          </w:tcPr>
          <w:p w:rsidR="004840F2" w:rsidRPr="00010EF6" w:rsidRDefault="0085212A" w:rsidP="004F302F">
            <w:pPr>
              <w:rPr>
                <w:rFonts w:ascii="Arial Narrow" w:hAnsi="Arial Narrow"/>
                <w:b/>
              </w:rPr>
            </w:pPr>
            <w:r w:rsidRPr="00010EF6">
              <w:rPr>
                <w:rFonts w:ascii="Arial Narrow" w:hAnsi="Arial Narrow"/>
                <w:b/>
              </w:rPr>
              <w:t>Grant period</w:t>
            </w:r>
          </w:p>
        </w:tc>
        <w:tc>
          <w:tcPr>
            <w:tcW w:w="6408" w:type="dxa"/>
          </w:tcPr>
          <w:p w:rsidR="004840F2" w:rsidRPr="00DD2DA7" w:rsidRDefault="00F83323" w:rsidP="00751327">
            <w:pPr>
              <w:rPr>
                <w:rFonts w:ascii="Arial Narrow" w:hAnsi="Arial Narrow" w:cs="Tahoma"/>
                <w:b/>
                <w:sz w:val="24"/>
                <w:szCs w:val="24"/>
              </w:rPr>
            </w:pPr>
            <w:r w:rsidRPr="00DD2DA7">
              <w:rPr>
                <w:rFonts w:ascii="Arial Narrow" w:hAnsi="Arial Narrow" w:cs="Tahoma"/>
                <w:b/>
                <w:sz w:val="24"/>
                <w:szCs w:val="24"/>
              </w:rPr>
              <w:t>July 20 to September 30, 2018</w:t>
            </w:r>
            <w:r w:rsidR="0085212A" w:rsidRPr="00DD2DA7">
              <w:rPr>
                <w:rFonts w:ascii="Arial Narrow" w:hAnsi="Arial Narrow" w:cs="Tahoma"/>
                <w:b/>
                <w:sz w:val="24"/>
                <w:szCs w:val="24"/>
              </w:rPr>
              <w:t xml:space="preserve"> (period will vary depending on project)</w:t>
            </w:r>
          </w:p>
        </w:tc>
      </w:tr>
      <w:tr w:rsidR="004840F2" w:rsidRPr="00010EF6" w:rsidTr="004F302F">
        <w:tc>
          <w:tcPr>
            <w:tcW w:w="3168" w:type="dxa"/>
            <w:shd w:val="clear" w:color="auto" w:fill="DBE5F1" w:themeFill="accent1" w:themeFillTint="33"/>
          </w:tcPr>
          <w:p w:rsidR="004840F2" w:rsidRPr="00010EF6" w:rsidRDefault="004840F2" w:rsidP="004F302F">
            <w:pPr>
              <w:rPr>
                <w:rFonts w:ascii="Arial Narrow" w:hAnsi="Arial Narrow"/>
                <w:b/>
              </w:rPr>
            </w:pPr>
            <w:r w:rsidRPr="00010EF6">
              <w:rPr>
                <w:rFonts w:ascii="Arial Narrow" w:hAnsi="Arial Narrow"/>
                <w:b/>
              </w:rPr>
              <w:t>Contact information</w:t>
            </w:r>
          </w:p>
        </w:tc>
        <w:tc>
          <w:tcPr>
            <w:tcW w:w="6408" w:type="dxa"/>
          </w:tcPr>
          <w:p w:rsidR="004840F2" w:rsidRPr="000C5D0F" w:rsidRDefault="004840F2" w:rsidP="004F302F">
            <w:pPr>
              <w:rPr>
                <w:rFonts w:ascii="Arial Narrow" w:hAnsi="Arial Narrow" w:cs="Tahoma"/>
                <w:sz w:val="24"/>
                <w:szCs w:val="24"/>
              </w:rPr>
            </w:pPr>
            <w:r w:rsidRPr="000C5D0F">
              <w:rPr>
                <w:rFonts w:ascii="Arial Narrow" w:hAnsi="Arial Narrow" w:cs="Tahoma"/>
                <w:sz w:val="24"/>
                <w:szCs w:val="24"/>
              </w:rPr>
              <w:t>Darlene C. Russell, Senior Program Officer</w:t>
            </w:r>
          </w:p>
          <w:p w:rsidR="004840F2" w:rsidRPr="000C5D0F" w:rsidRDefault="004840F2" w:rsidP="004F302F">
            <w:pPr>
              <w:rPr>
                <w:rFonts w:ascii="Arial Narrow" w:hAnsi="Arial Narrow" w:cs="Tahoma"/>
                <w:sz w:val="24"/>
                <w:szCs w:val="24"/>
              </w:rPr>
            </w:pPr>
            <w:r w:rsidRPr="000C5D0F">
              <w:rPr>
                <w:rFonts w:ascii="Arial Narrow" w:hAnsi="Arial Narrow" w:cs="Tahoma"/>
                <w:sz w:val="24"/>
                <w:szCs w:val="24"/>
              </w:rPr>
              <w:t>Greater Milwaukee Foundation</w:t>
            </w:r>
          </w:p>
          <w:p w:rsidR="004840F2" w:rsidRPr="000C5D0F" w:rsidRDefault="009222FC" w:rsidP="004F302F">
            <w:pPr>
              <w:rPr>
                <w:rFonts w:ascii="Arial Narrow" w:hAnsi="Arial Narrow" w:cs="Tahoma"/>
                <w:sz w:val="24"/>
                <w:szCs w:val="24"/>
              </w:rPr>
            </w:pPr>
            <w:hyperlink r:id="rId7" w:history="1">
              <w:r w:rsidR="004840F2" w:rsidRPr="000C5D0F">
                <w:rPr>
                  <w:rStyle w:val="Hyperlink"/>
                  <w:rFonts w:ascii="Arial Narrow" w:hAnsi="Arial Narrow" w:cs="Tahoma"/>
                  <w:sz w:val="24"/>
                  <w:szCs w:val="24"/>
                </w:rPr>
                <w:t>drussell@greatermilwaukeefoundation.org</w:t>
              </w:r>
            </w:hyperlink>
          </w:p>
          <w:p w:rsidR="004840F2" w:rsidRPr="000C5D0F" w:rsidRDefault="004840F2" w:rsidP="004F302F">
            <w:pPr>
              <w:rPr>
                <w:rFonts w:ascii="Arial Narrow" w:hAnsi="Arial Narrow" w:cs="Tahoma"/>
                <w:sz w:val="24"/>
                <w:szCs w:val="24"/>
              </w:rPr>
            </w:pPr>
            <w:r w:rsidRPr="000C5D0F">
              <w:rPr>
                <w:rFonts w:ascii="Arial Narrow" w:hAnsi="Arial Narrow" w:cs="Tahoma"/>
                <w:sz w:val="24"/>
                <w:szCs w:val="24"/>
              </w:rPr>
              <w:t>414.272.5805</w:t>
            </w:r>
          </w:p>
        </w:tc>
      </w:tr>
    </w:tbl>
    <w:p w:rsidR="00174B20" w:rsidRPr="00010EF6" w:rsidRDefault="00174B20" w:rsidP="004F302F">
      <w:pPr>
        <w:rPr>
          <w:rFonts w:ascii="Arial Narrow" w:hAnsi="Arial Narrow" w:cs="Tahoma"/>
          <w:color w:val="060611"/>
          <w:sz w:val="19"/>
          <w:szCs w:val="19"/>
          <w:highlight w:val="yellow"/>
        </w:rPr>
      </w:pPr>
    </w:p>
    <w:p w:rsidR="00D152AB" w:rsidRPr="00010EF6" w:rsidRDefault="00D152AB" w:rsidP="004F302F">
      <w:pPr>
        <w:rPr>
          <w:rFonts w:ascii="Arial Narrow" w:hAnsi="Arial Narrow"/>
          <w:b/>
          <w:sz w:val="28"/>
          <w:szCs w:val="28"/>
        </w:rPr>
      </w:pPr>
    </w:p>
    <w:p w:rsidR="0054054B" w:rsidRPr="00010EF6" w:rsidRDefault="0054054B" w:rsidP="004F302F">
      <w:pPr>
        <w:rPr>
          <w:rFonts w:ascii="Arial Narrow" w:hAnsi="Arial Narrow"/>
          <w:b/>
          <w:sz w:val="28"/>
          <w:szCs w:val="28"/>
        </w:rPr>
      </w:pPr>
    </w:p>
    <w:p w:rsidR="000C5D0F" w:rsidRDefault="000C5D0F" w:rsidP="004F302F">
      <w:pPr>
        <w:rPr>
          <w:rFonts w:ascii="Arial Narrow" w:hAnsi="Arial Narrow"/>
          <w:b/>
          <w:sz w:val="28"/>
          <w:szCs w:val="28"/>
        </w:rPr>
      </w:pPr>
      <w:bookmarkStart w:id="0" w:name="_GoBack"/>
      <w:bookmarkEnd w:id="0"/>
    </w:p>
    <w:p w:rsidR="004F302F" w:rsidRPr="00010EF6" w:rsidRDefault="008B6BBF" w:rsidP="004F302F">
      <w:pPr>
        <w:rPr>
          <w:rFonts w:ascii="Arial Narrow" w:hAnsi="Arial Narrow"/>
          <w:b/>
          <w:sz w:val="28"/>
          <w:szCs w:val="28"/>
        </w:rPr>
      </w:pPr>
      <w:r w:rsidRPr="00010EF6">
        <w:rPr>
          <w:rFonts w:ascii="Arial Narrow" w:hAnsi="Arial Narrow"/>
          <w:b/>
          <w:sz w:val="28"/>
          <w:szCs w:val="28"/>
        </w:rPr>
        <w:lastRenderedPageBreak/>
        <w:t xml:space="preserve">Reasons for Hope MKE Fund: Grant </w:t>
      </w:r>
    </w:p>
    <w:p w:rsidR="00FA36BF" w:rsidRPr="00010EF6" w:rsidRDefault="00F21A03" w:rsidP="004F302F">
      <w:pPr>
        <w:rPr>
          <w:rFonts w:ascii="Arial Narrow" w:hAnsi="Arial Narrow"/>
          <w:b/>
          <w:sz w:val="24"/>
          <w:szCs w:val="24"/>
        </w:rPr>
      </w:pPr>
      <w:r w:rsidRPr="00010EF6">
        <w:rPr>
          <w:rFonts w:ascii="Arial Narrow" w:hAnsi="Arial Narrow"/>
          <w:b/>
          <w:sz w:val="24"/>
          <w:szCs w:val="24"/>
        </w:rPr>
        <w:t xml:space="preserve">Understanding the </w:t>
      </w:r>
      <w:r w:rsidR="00F83323">
        <w:rPr>
          <w:rFonts w:ascii="Arial Narrow" w:hAnsi="Arial Narrow"/>
          <w:b/>
          <w:sz w:val="24"/>
          <w:szCs w:val="24"/>
        </w:rPr>
        <w:t>Issues</w:t>
      </w:r>
    </w:p>
    <w:p w:rsidR="005E13D6" w:rsidRPr="00010EF6" w:rsidRDefault="005E13D6" w:rsidP="005E13D6">
      <w:pPr>
        <w:rPr>
          <w:rFonts w:ascii="Arial Narrow" w:hAnsi="Arial Narrow" w:cs="Tahoma"/>
          <w:sz w:val="24"/>
          <w:szCs w:val="24"/>
        </w:rPr>
      </w:pPr>
      <w:r w:rsidRPr="00010EF6">
        <w:rPr>
          <w:rFonts w:ascii="Arial Narrow" w:hAnsi="Arial Narrow" w:cs="Tahoma"/>
          <w:sz w:val="24"/>
          <w:szCs w:val="24"/>
        </w:rPr>
        <w:t>The Greater Milwaukee Foundation heard directly from residents and community leaders on the need for some short term immediate support for residents, grassroots groups and community organizations proac</w:t>
      </w:r>
      <w:r w:rsidR="00D52683">
        <w:rPr>
          <w:rFonts w:ascii="Arial Narrow" w:hAnsi="Arial Narrow" w:cs="Tahoma"/>
          <w:sz w:val="24"/>
          <w:szCs w:val="24"/>
        </w:rPr>
        <w:t xml:space="preserve">tively working to promote </w:t>
      </w:r>
      <w:proofErr w:type="gramStart"/>
      <w:r w:rsidR="00F83323">
        <w:rPr>
          <w:rFonts w:ascii="Arial Narrow" w:hAnsi="Arial Narrow" w:cs="Tahoma"/>
          <w:sz w:val="24"/>
          <w:szCs w:val="24"/>
        </w:rPr>
        <w:t>peace,</w:t>
      </w:r>
      <w:proofErr w:type="gramEnd"/>
      <w:r w:rsidRPr="00010EF6">
        <w:rPr>
          <w:rFonts w:ascii="Arial Narrow" w:hAnsi="Arial Narrow" w:cs="Tahoma"/>
          <w:sz w:val="24"/>
          <w:szCs w:val="24"/>
        </w:rPr>
        <w:t xml:space="preserve"> address neighborhood issues and build and strengthen community.  In Augus</w:t>
      </w:r>
      <w:r w:rsidR="00D52683">
        <w:rPr>
          <w:rFonts w:ascii="Arial Narrow" w:hAnsi="Arial Narrow" w:cs="Tahoma"/>
          <w:sz w:val="24"/>
          <w:szCs w:val="24"/>
        </w:rPr>
        <w:t>t 2016, the Foundation created t</w:t>
      </w:r>
      <w:r w:rsidRPr="00010EF6">
        <w:rPr>
          <w:rFonts w:ascii="Arial Narrow" w:hAnsi="Arial Narrow" w:cs="Tahoma"/>
          <w:sz w:val="24"/>
          <w:szCs w:val="24"/>
        </w:rPr>
        <w:t xml:space="preserve">he Reasons for Hope MKE Fund. </w:t>
      </w:r>
    </w:p>
    <w:p w:rsidR="001E7D01" w:rsidRPr="00010EF6" w:rsidRDefault="001E7D01" w:rsidP="004F302F">
      <w:pPr>
        <w:rPr>
          <w:rFonts w:ascii="Arial Narrow" w:hAnsi="Arial Narrow"/>
          <w:b/>
        </w:rPr>
      </w:pPr>
    </w:p>
    <w:p w:rsidR="005F5982" w:rsidRPr="00010EF6" w:rsidRDefault="00B06D5B" w:rsidP="00B06D5B">
      <w:pPr>
        <w:rPr>
          <w:rFonts w:ascii="Arial Narrow" w:hAnsi="Arial Narrow"/>
          <w:b/>
        </w:rPr>
      </w:pPr>
      <w:r w:rsidRPr="00010EF6">
        <w:rPr>
          <w:rFonts w:ascii="Arial Narrow" w:hAnsi="Arial Narrow"/>
          <w:b/>
        </w:rPr>
        <w:t xml:space="preserve"> </w:t>
      </w:r>
      <w:r w:rsidR="005F5982" w:rsidRPr="00010EF6">
        <w:rPr>
          <w:rFonts w:ascii="Arial Narrow" w:hAnsi="Arial Narrow"/>
          <w:b/>
        </w:rPr>
        <w:t>Supporting the Solution</w:t>
      </w:r>
    </w:p>
    <w:p w:rsidR="005E13D6" w:rsidRPr="00010EF6" w:rsidRDefault="005E13D6" w:rsidP="005E13D6">
      <w:pPr>
        <w:rPr>
          <w:rFonts w:ascii="Arial Narrow" w:hAnsi="Arial Narrow" w:cs="Tahoma"/>
          <w:sz w:val="24"/>
          <w:szCs w:val="24"/>
        </w:rPr>
      </w:pPr>
      <w:r w:rsidRPr="00D52683">
        <w:rPr>
          <w:rFonts w:ascii="Arial Narrow" w:hAnsi="Arial Narrow" w:cs="Tahoma"/>
          <w:sz w:val="24"/>
          <w:szCs w:val="24"/>
        </w:rPr>
        <w:t xml:space="preserve">The Reasons for Hope MKE Fund </w:t>
      </w:r>
      <w:r w:rsidRPr="00010EF6">
        <w:rPr>
          <w:rFonts w:ascii="Arial Narrow" w:hAnsi="Arial Narrow" w:cs="Tahoma"/>
          <w:sz w:val="24"/>
          <w:szCs w:val="24"/>
        </w:rPr>
        <w:t>support</w:t>
      </w:r>
      <w:r w:rsidR="002C3D73">
        <w:rPr>
          <w:rFonts w:ascii="Arial Narrow" w:hAnsi="Arial Narrow" w:cs="Tahoma"/>
          <w:sz w:val="24"/>
          <w:szCs w:val="24"/>
        </w:rPr>
        <w:t>s</w:t>
      </w:r>
      <w:r w:rsidRPr="00010EF6">
        <w:rPr>
          <w:rFonts w:ascii="Arial Narrow" w:hAnsi="Arial Narrow" w:cs="Tahoma"/>
          <w:sz w:val="24"/>
          <w:szCs w:val="24"/>
        </w:rPr>
        <w:t xml:space="preserve"> community based actions and activities that will encourage new and stronger relationships between residents of the community, grassroots groups and more established organizations. Building relationships is key to strengt</w:t>
      </w:r>
      <w:r w:rsidR="002C3D73">
        <w:rPr>
          <w:rFonts w:ascii="Arial Narrow" w:hAnsi="Arial Narrow" w:cs="Tahoma"/>
          <w:sz w:val="24"/>
          <w:szCs w:val="24"/>
        </w:rPr>
        <w:t>hening neighborhoods. This new f</w:t>
      </w:r>
      <w:r w:rsidRPr="00010EF6">
        <w:rPr>
          <w:rFonts w:ascii="Arial Narrow" w:hAnsi="Arial Narrow" w:cs="Tahoma"/>
          <w:sz w:val="24"/>
          <w:szCs w:val="24"/>
        </w:rPr>
        <w:t>und has been created in direct response to many people and organizations who are seeking to take action and have the potential to build and strengthen positive relationships in neighborhoods right now, on the ground.</w:t>
      </w:r>
    </w:p>
    <w:p w:rsidR="005E13D6" w:rsidRPr="00010EF6" w:rsidRDefault="005E13D6" w:rsidP="005E13D6">
      <w:pPr>
        <w:rPr>
          <w:rFonts w:ascii="Arial Narrow" w:hAnsi="Arial Narrow" w:cs="Tahoma"/>
          <w:sz w:val="24"/>
          <w:szCs w:val="24"/>
        </w:rPr>
      </w:pPr>
      <w:r w:rsidRPr="00010EF6">
        <w:rPr>
          <w:rFonts w:ascii="Arial Narrow" w:hAnsi="Arial Narrow" w:cs="Tahoma"/>
          <w:sz w:val="24"/>
          <w:szCs w:val="24"/>
        </w:rPr>
        <w:t>The Foundation has</w:t>
      </w:r>
      <w:r w:rsidR="002C3D73">
        <w:rPr>
          <w:rFonts w:ascii="Arial Narrow" w:hAnsi="Arial Narrow" w:cs="Tahoma"/>
          <w:sz w:val="24"/>
          <w:szCs w:val="24"/>
        </w:rPr>
        <w:t xml:space="preserve"> been investing in </w:t>
      </w:r>
      <w:r w:rsidRPr="00010EF6">
        <w:rPr>
          <w:rFonts w:ascii="Arial Narrow" w:hAnsi="Arial Narrow" w:cs="Tahoma"/>
          <w:sz w:val="24"/>
          <w:szCs w:val="24"/>
        </w:rPr>
        <w:t xml:space="preserve">neighborhoods through the </w:t>
      </w:r>
      <w:hyperlink r:id="rId8" w:history="1">
        <w:r w:rsidRPr="00010EF6">
          <w:rPr>
            <w:rStyle w:val="Hyperlink"/>
            <w:rFonts w:ascii="Arial Narrow" w:hAnsi="Arial Narrow" w:cs="Tahoma"/>
            <w:sz w:val="24"/>
            <w:szCs w:val="24"/>
          </w:rPr>
          <w:t>Healthy Neighborhoods Initiative</w:t>
        </w:r>
      </w:hyperlink>
      <w:r w:rsidRPr="00010EF6">
        <w:rPr>
          <w:rStyle w:val="Hyperlink"/>
          <w:rFonts w:ascii="Arial Narrow" w:hAnsi="Arial Narrow" w:cs="Tahoma"/>
          <w:sz w:val="24"/>
          <w:szCs w:val="24"/>
        </w:rPr>
        <w:t xml:space="preserve"> </w:t>
      </w:r>
      <w:r w:rsidRPr="00010EF6">
        <w:rPr>
          <w:rFonts w:ascii="Arial Narrow" w:hAnsi="Arial Narrow" w:cs="Tahoma"/>
          <w:sz w:val="24"/>
          <w:szCs w:val="24"/>
        </w:rPr>
        <w:t xml:space="preserve">since 2006. HNI strategies incorporate significant amounts of social capital development through projects that connect neighbors to each other, offer opportunities to engage in neighborhood beautification projects and work that strengthens real estate markets.  While the Foundation is currently engaged in larger, long-term efforts to support </w:t>
      </w:r>
      <w:r w:rsidR="002C3D73">
        <w:rPr>
          <w:rFonts w:ascii="Arial Narrow" w:hAnsi="Arial Narrow" w:cs="Tahoma"/>
          <w:sz w:val="24"/>
          <w:szCs w:val="24"/>
        </w:rPr>
        <w:t>neighborhoods, this particular f</w:t>
      </w:r>
      <w:r w:rsidRPr="00010EF6">
        <w:rPr>
          <w:rFonts w:ascii="Arial Narrow" w:hAnsi="Arial Narrow" w:cs="Tahoma"/>
          <w:sz w:val="24"/>
          <w:szCs w:val="24"/>
        </w:rPr>
        <w:t>und is purposely intended to provide highly targeted, immediate support to smaller local group</w:t>
      </w:r>
      <w:r w:rsidR="002C3D73">
        <w:rPr>
          <w:rFonts w:ascii="Arial Narrow" w:hAnsi="Arial Narrow" w:cs="Tahoma"/>
          <w:sz w:val="24"/>
          <w:szCs w:val="24"/>
        </w:rPr>
        <w:t>s over the short term.  This f</w:t>
      </w:r>
      <w:r w:rsidRPr="00010EF6">
        <w:rPr>
          <w:rFonts w:ascii="Arial Narrow" w:hAnsi="Arial Narrow" w:cs="Tahoma"/>
          <w:sz w:val="24"/>
          <w:szCs w:val="24"/>
        </w:rPr>
        <w:t>und is not meant to be a quick fix to the broad and complex problems of neighborhoods nor is it a substitute for the intensive and wide-ranging efforts already underway or planned to develop in response to the many root causes of the challenges our neighborhoods face.</w:t>
      </w:r>
    </w:p>
    <w:p w:rsidR="00DC633B" w:rsidRPr="00010EF6" w:rsidRDefault="00DC633B" w:rsidP="005F5982">
      <w:pPr>
        <w:pStyle w:val="Default"/>
        <w:rPr>
          <w:rFonts w:ascii="Arial Narrow" w:hAnsi="Arial Narrow"/>
        </w:rPr>
      </w:pPr>
    </w:p>
    <w:p w:rsidR="005E13D6" w:rsidRPr="00010EF6" w:rsidRDefault="005F5982" w:rsidP="005E13D6">
      <w:pPr>
        <w:spacing w:after="0"/>
        <w:rPr>
          <w:rFonts w:ascii="Arial Narrow" w:hAnsi="Arial Narrow"/>
          <w:sz w:val="24"/>
          <w:szCs w:val="24"/>
        </w:rPr>
      </w:pPr>
      <w:r w:rsidRPr="00010EF6">
        <w:rPr>
          <w:rFonts w:ascii="Arial Narrow" w:hAnsi="Arial Narrow"/>
          <w:sz w:val="24"/>
          <w:szCs w:val="24"/>
        </w:rPr>
        <w:t xml:space="preserve">We welcome proposals that align with </w:t>
      </w:r>
      <w:r w:rsidR="005E13D6" w:rsidRPr="00010EF6">
        <w:rPr>
          <w:rFonts w:ascii="Arial Narrow" w:hAnsi="Arial Narrow"/>
          <w:sz w:val="24"/>
          <w:szCs w:val="24"/>
        </w:rPr>
        <w:t>community goals and needs</w:t>
      </w:r>
      <w:r w:rsidRPr="00010EF6">
        <w:rPr>
          <w:rFonts w:ascii="Arial Narrow" w:hAnsi="Arial Narrow"/>
          <w:sz w:val="24"/>
          <w:szCs w:val="24"/>
        </w:rPr>
        <w:t>:</w:t>
      </w:r>
    </w:p>
    <w:p w:rsidR="005E13D6" w:rsidRPr="00010EF6" w:rsidRDefault="005E13D6" w:rsidP="005E13D6">
      <w:pPr>
        <w:pStyle w:val="ListParagraph"/>
        <w:numPr>
          <w:ilvl w:val="0"/>
          <w:numId w:val="5"/>
        </w:numPr>
        <w:spacing w:after="0"/>
        <w:rPr>
          <w:rStyle w:val="Strong"/>
          <w:rFonts w:ascii="Arial Narrow" w:eastAsia="Times New Roman" w:hAnsi="Arial Narrow" w:cs="Times New Roman"/>
          <w:b w:val="0"/>
          <w:bCs w:val="0"/>
          <w:sz w:val="24"/>
          <w:szCs w:val="24"/>
        </w:rPr>
      </w:pPr>
      <w:r w:rsidRPr="00010EF6">
        <w:rPr>
          <w:rStyle w:val="Strong"/>
          <w:rFonts w:ascii="Arial Narrow" w:eastAsia="Times New Roman" w:hAnsi="Arial Narrow" w:cs="Times New Roman"/>
          <w:bCs w:val="0"/>
          <w:sz w:val="24"/>
          <w:szCs w:val="24"/>
        </w:rPr>
        <w:t>Goal 1-</w:t>
      </w:r>
      <w:r w:rsidRPr="00010EF6">
        <w:rPr>
          <w:rStyle w:val="Strong"/>
          <w:rFonts w:ascii="Arial Narrow" w:eastAsia="Times New Roman" w:hAnsi="Arial Narrow" w:cs="Times New Roman"/>
          <w:b w:val="0"/>
          <w:bCs w:val="0"/>
          <w:sz w:val="24"/>
          <w:szCs w:val="24"/>
        </w:rPr>
        <w:t xml:space="preserve"> This project stimulates and support</w:t>
      </w:r>
      <w:r w:rsidR="002C3D73">
        <w:rPr>
          <w:rStyle w:val="Strong"/>
          <w:rFonts w:ascii="Arial Narrow" w:eastAsia="Times New Roman" w:hAnsi="Arial Narrow" w:cs="Times New Roman"/>
          <w:b w:val="0"/>
          <w:bCs w:val="0"/>
          <w:sz w:val="24"/>
          <w:szCs w:val="24"/>
        </w:rPr>
        <w:t>s</w:t>
      </w:r>
      <w:r w:rsidRPr="00010EF6">
        <w:rPr>
          <w:rStyle w:val="Strong"/>
          <w:rFonts w:ascii="Arial Narrow" w:eastAsia="Times New Roman" w:hAnsi="Arial Narrow" w:cs="Times New Roman"/>
          <w:b w:val="0"/>
          <w:bCs w:val="0"/>
          <w:sz w:val="24"/>
          <w:szCs w:val="24"/>
        </w:rPr>
        <w:t xml:space="preserve"> initiatives designed and implemented by residents that address neighborhoods issues, build community and/or promote peace.</w:t>
      </w:r>
    </w:p>
    <w:p w:rsidR="005E13D6" w:rsidRPr="00010EF6" w:rsidRDefault="005E13D6" w:rsidP="005E13D6">
      <w:pPr>
        <w:pStyle w:val="ListParagraph"/>
        <w:numPr>
          <w:ilvl w:val="0"/>
          <w:numId w:val="5"/>
        </w:numPr>
        <w:spacing w:after="0"/>
        <w:rPr>
          <w:rStyle w:val="Strong"/>
          <w:rFonts w:ascii="Arial Narrow" w:eastAsia="Times New Roman" w:hAnsi="Arial Narrow" w:cs="Times New Roman"/>
          <w:b w:val="0"/>
          <w:bCs w:val="0"/>
          <w:sz w:val="24"/>
          <w:szCs w:val="24"/>
        </w:rPr>
      </w:pPr>
      <w:r w:rsidRPr="00010EF6">
        <w:rPr>
          <w:rStyle w:val="Strong"/>
          <w:rFonts w:ascii="Arial Narrow" w:eastAsia="Times New Roman" w:hAnsi="Arial Narrow" w:cs="Times New Roman"/>
          <w:bCs w:val="0"/>
          <w:sz w:val="24"/>
          <w:szCs w:val="24"/>
        </w:rPr>
        <w:t>Goal 2-</w:t>
      </w:r>
      <w:r w:rsidRPr="00010EF6">
        <w:rPr>
          <w:rStyle w:val="Strong"/>
          <w:rFonts w:ascii="Arial Narrow" w:eastAsia="Times New Roman" w:hAnsi="Arial Narrow" w:cs="Times New Roman"/>
          <w:b w:val="0"/>
          <w:bCs w:val="0"/>
          <w:sz w:val="24"/>
          <w:szCs w:val="24"/>
        </w:rPr>
        <w:t xml:space="preserve"> This project encourages new and stronger relationships </w:t>
      </w:r>
      <w:r w:rsidR="002C3D73">
        <w:rPr>
          <w:rStyle w:val="Strong"/>
          <w:rFonts w:ascii="Arial Narrow" w:eastAsia="Times New Roman" w:hAnsi="Arial Narrow" w:cs="Times New Roman"/>
          <w:b w:val="0"/>
          <w:bCs w:val="0"/>
          <w:sz w:val="24"/>
          <w:szCs w:val="24"/>
        </w:rPr>
        <w:t>between</w:t>
      </w:r>
      <w:r w:rsidRPr="00010EF6">
        <w:rPr>
          <w:rStyle w:val="Strong"/>
          <w:rFonts w:ascii="Arial Narrow" w:eastAsia="Times New Roman" w:hAnsi="Arial Narrow" w:cs="Times New Roman"/>
          <w:b w:val="0"/>
          <w:bCs w:val="0"/>
          <w:sz w:val="24"/>
          <w:szCs w:val="24"/>
        </w:rPr>
        <w:t xml:space="preserve"> neighborhoods in the community, among grassroots groups, between grassroots groups and more established organizations.</w:t>
      </w:r>
    </w:p>
    <w:p w:rsidR="005E13D6" w:rsidRPr="00010EF6" w:rsidRDefault="005E13D6" w:rsidP="005E13D6">
      <w:pPr>
        <w:spacing w:after="0"/>
        <w:rPr>
          <w:rStyle w:val="Strong"/>
          <w:rFonts w:ascii="Arial Narrow" w:eastAsia="Times New Roman" w:hAnsi="Arial Narrow" w:cs="Times New Roman"/>
          <w:b w:val="0"/>
          <w:bCs w:val="0"/>
          <w:sz w:val="24"/>
          <w:szCs w:val="24"/>
        </w:rPr>
      </w:pPr>
    </w:p>
    <w:p w:rsidR="00F21A03" w:rsidRPr="00010EF6" w:rsidRDefault="00F21A03" w:rsidP="004F302F">
      <w:pPr>
        <w:rPr>
          <w:rFonts w:ascii="Arial Narrow" w:hAnsi="Arial Narrow"/>
          <w:b/>
          <w:sz w:val="24"/>
          <w:szCs w:val="24"/>
        </w:rPr>
      </w:pPr>
      <w:r w:rsidRPr="00010EF6">
        <w:rPr>
          <w:rFonts w:ascii="Arial Narrow" w:hAnsi="Arial Narrow"/>
          <w:b/>
          <w:sz w:val="24"/>
          <w:szCs w:val="24"/>
        </w:rPr>
        <w:t>Program Requirements</w:t>
      </w:r>
    </w:p>
    <w:p w:rsidR="005E13D6" w:rsidRPr="00010EF6" w:rsidRDefault="005E13D6" w:rsidP="005E13D6">
      <w:pPr>
        <w:spacing w:after="0" w:line="240" w:lineRule="auto"/>
        <w:rPr>
          <w:rFonts w:ascii="Arial Narrow" w:eastAsia="Times New Roman" w:hAnsi="Arial Narrow" w:cs="Times New Roman"/>
          <w:color w:val="000000"/>
          <w:sz w:val="24"/>
          <w:szCs w:val="24"/>
          <w:lang w:val="en"/>
        </w:rPr>
      </w:pPr>
      <w:r w:rsidRPr="00010EF6">
        <w:rPr>
          <w:rFonts w:ascii="Arial Narrow" w:eastAsia="Times New Roman" w:hAnsi="Arial Narrow" w:cs="Times New Roman"/>
          <w:color w:val="000000"/>
          <w:sz w:val="24"/>
          <w:szCs w:val="24"/>
          <w:lang w:val="en"/>
        </w:rPr>
        <w:t>Funds will support program</w:t>
      </w:r>
      <w:r w:rsidR="00E11966">
        <w:rPr>
          <w:rFonts w:ascii="Arial Narrow" w:eastAsia="Times New Roman" w:hAnsi="Arial Narrow" w:cs="Times New Roman"/>
          <w:color w:val="000000"/>
          <w:sz w:val="24"/>
          <w:szCs w:val="24"/>
          <w:lang w:val="en"/>
        </w:rPr>
        <w:t>s</w:t>
      </w:r>
      <w:r w:rsidRPr="00010EF6">
        <w:rPr>
          <w:rFonts w:ascii="Arial Narrow" w:eastAsia="Times New Roman" w:hAnsi="Arial Narrow" w:cs="Times New Roman"/>
          <w:color w:val="000000"/>
          <w:sz w:val="24"/>
          <w:szCs w:val="24"/>
          <w:lang w:val="en"/>
        </w:rPr>
        <w:t xml:space="preserve"> and activities that promote peace, foster community cohesion, prevent violence and build social connections such as educational events, group or youth activities, resident leader stipends, recreational activities, festivals, performances, picnics, block-level activities including rental of venues</w:t>
      </w:r>
      <w:r w:rsidR="00E11966">
        <w:rPr>
          <w:rFonts w:ascii="Arial Narrow" w:eastAsia="Times New Roman" w:hAnsi="Arial Narrow" w:cs="Times New Roman"/>
          <w:color w:val="000000"/>
          <w:sz w:val="24"/>
          <w:szCs w:val="24"/>
          <w:lang w:val="en"/>
        </w:rPr>
        <w:t xml:space="preserve"> and supplies and activities that</w:t>
      </w:r>
      <w:r w:rsidRPr="00010EF6">
        <w:rPr>
          <w:rFonts w:ascii="Arial Narrow" w:eastAsia="Times New Roman" w:hAnsi="Arial Narrow" w:cs="Times New Roman"/>
          <w:color w:val="000000"/>
          <w:sz w:val="24"/>
          <w:szCs w:val="24"/>
          <w:lang w:val="en"/>
        </w:rPr>
        <w:t xml:space="preserve"> promote constructive relationships between community and residents.</w:t>
      </w:r>
    </w:p>
    <w:p w:rsidR="005E13D6" w:rsidRPr="00010EF6" w:rsidRDefault="00E11966" w:rsidP="005E13D6">
      <w:pPr>
        <w:spacing w:before="100" w:beforeAutospacing="1" w:after="100" w:afterAutospacing="1" w:line="240" w:lineRule="auto"/>
        <w:rPr>
          <w:rFonts w:ascii="Arial Narrow" w:eastAsia="Times New Roman" w:hAnsi="Arial Narrow" w:cs="Times New Roman"/>
          <w:color w:val="000000"/>
          <w:sz w:val="24"/>
          <w:szCs w:val="24"/>
          <w:lang w:val="en"/>
        </w:rPr>
      </w:pPr>
      <w:r>
        <w:rPr>
          <w:rFonts w:ascii="Arial Narrow" w:hAnsi="Arial Narrow" w:cs="Tahoma"/>
          <w:sz w:val="24"/>
          <w:szCs w:val="24"/>
        </w:rPr>
        <w:lastRenderedPageBreak/>
        <w:t>The f</w:t>
      </w:r>
      <w:r w:rsidR="005E13D6" w:rsidRPr="00010EF6">
        <w:rPr>
          <w:rFonts w:ascii="Arial Narrow" w:hAnsi="Arial Narrow" w:cs="Tahoma"/>
          <w:sz w:val="24"/>
          <w:szCs w:val="24"/>
        </w:rPr>
        <w:t>und will consider applications from grassroots groups,</w:t>
      </w:r>
      <w:r>
        <w:rPr>
          <w:rFonts w:ascii="Arial Narrow" w:hAnsi="Arial Narrow" w:cs="Tahoma"/>
          <w:sz w:val="24"/>
          <w:szCs w:val="24"/>
        </w:rPr>
        <w:t xml:space="preserve"> and</w:t>
      </w:r>
      <w:r w:rsidR="005E13D6" w:rsidRPr="00010EF6">
        <w:rPr>
          <w:rFonts w:ascii="Arial Narrow" w:hAnsi="Arial Narrow" w:cs="Tahoma"/>
          <w:sz w:val="24"/>
          <w:szCs w:val="24"/>
        </w:rPr>
        <w:t xml:space="preserve"> neighborhood-based groups both formal and informal. </w:t>
      </w:r>
      <w:r w:rsidR="005E13D6" w:rsidRPr="00010EF6">
        <w:rPr>
          <w:rFonts w:ascii="Arial Narrow" w:eastAsia="Times New Roman" w:hAnsi="Arial Narrow" w:cs="Times New Roman"/>
          <w:color w:val="000000"/>
          <w:sz w:val="24"/>
          <w:szCs w:val="24"/>
          <w:lang w:val="en"/>
        </w:rPr>
        <w:t xml:space="preserve">Organizations must be considered charitable organizations as determined by the IRS internal revenue code 501(c) (3). </w:t>
      </w:r>
      <w:r w:rsidR="005E13D6" w:rsidRPr="00010EF6">
        <w:rPr>
          <w:rFonts w:ascii="Arial Narrow" w:eastAsia="Times New Roman" w:hAnsi="Arial Narrow" w:cs="Times New Roman"/>
          <w:b/>
          <w:bCs/>
          <w:iCs/>
          <w:color w:val="000000"/>
          <w:sz w:val="24"/>
          <w:szCs w:val="24"/>
          <w:lang w:val="en"/>
        </w:rPr>
        <w:t>Please note</w:t>
      </w:r>
      <w:r>
        <w:rPr>
          <w:rFonts w:ascii="Arial Narrow" w:eastAsia="Times New Roman" w:hAnsi="Arial Narrow" w:cs="Times New Roman"/>
          <w:b/>
          <w:bCs/>
          <w:iCs/>
          <w:color w:val="000000"/>
          <w:sz w:val="24"/>
          <w:szCs w:val="24"/>
          <w:lang w:val="en"/>
        </w:rPr>
        <w:t xml:space="preserve">: </w:t>
      </w:r>
      <w:r>
        <w:rPr>
          <w:rFonts w:ascii="Arial Narrow" w:eastAsia="Times New Roman" w:hAnsi="Arial Narrow" w:cs="Times New Roman"/>
          <w:color w:val="000000"/>
          <w:sz w:val="24"/>
          <w:szCs w:val="24"/>
          <w:lang w:val="en"/>
        </w:rPr>
        <w:t>G</w:t>
      </w:r>
      <w:r w:rsidR="005E13D6" w:rsidRPr="00010EF6">
        <w:rPr>
          <w:rFonts w:ascii="Arial Narrow" w:eastAsia="Times New Roman" w:hAnsi="Arial Narrow" w:cs="Times New Roman"/>
          <w:color w:val="000000"/>
          <w:sz w:val="24"/>
          <w:szCs w:val="24"/>
          <w:lang w:val="en"/>
        </w:rPr>
        <w:t xml:space="preserve">roups and organizations that do not have this designation </w:t>
      </w:r>
      <w:r w:rsidR="005E13D6" w:rsidRPr="00010EF6">
        <w:rPr>
          <w:rFonts w:ascii="Arial Narrow" w:eastAsia="Times New Roman" w:hAnsi="Arial Narrow" w:cs="Times New Roman"/>
          <w:b/>
          <w:color w:val="000000"/>
          <w:sz w:val="24"/>
          <w:szCs w:val="24"/>
          <w:lang w:val="en"/>
        </w:rPr>
        <w:t>may use a fiscal sponsor</w:t>
      </w:r>
      <w:r w:rsidR="005E13D6" w:rsidRPr="00010EF6">
        <w:rPr>
          <w:rFonts w:ascii="Arial Narrow" w:eastAsia="Times New Roman" w:hAnsi="Arial Narrow" w:cs="Times New Roman"/>
          <w:color w:val="000000"/>
          <w:sz w:val="24"/>
          <w:szCs w:val="24"/>
          <w:lang w:val="en"/>
        </w:rPr>
        <w:t xml:space="preserve"> (an organization recognized as a 501(c) (3) charitable entity) to serve as the recip</w:t>
      </w:r>
      <w:r>
        <w:rPr>
          <w:rFonts w:ascii="Arial Narrow" w:eastAsia="Times New Roman" w:hAnsi="Arial Narrow" w:cs="Times New Roman"/>
          <w:color w:val="000000"/>
          <w:sz w:val="24"/>
          <w:szCs w:val="24"/>
          <w:lang w:val="en"/>
        </w:rPr>
        <w:t>ient and manager of the grant.  El</w:t>
      </w:r>
      <w:r w:rsidR="005E13D6" w:rsidRPr="00010EF6">
        <w:rPr>
          <w:rFonts w:ascii="Arial Narrow" w:eastAsia="Times New Roman" w:hAnsi="Arial Narrow" w:cs="Times New Roman"/>
          <w:color w:val="000000"/>
          <w:sz w:val="24"/>
          <w:szCs w:val="24"/>
          <w:lang w:val="en"/>
        </w:rPr>
        <w:t>igible nonprofits are required to have board membership that is at least 10 percent people of color.</w:t>
      </w:r>
      <w:r>
        <w:rPr>
          <w:rFonts w:ascii="Arial Narrow" w:eastAsia="Times New Roman" w:hAnsi="Arial Narrow" w:cs="Times New Roman"/>
          <w:color w:val="000000"/>
          <w:sz w:val="24"/>
          <w:szCs w:val="24"/>
          <w:lang w:val="en"/>
        </w:rPr>
        <w:t xml:space="preserve">  </w:t>
      </w:r>
      <w:r w:rsidR="005E13D6" w:rsidRPr="00010EF6">
        <w:rPr>
          <w:rFonts w:ascii="Arial Narrow" w:eastAsia="Times New Roman" w:hAnsi="Arial Narrow" w:cs="Times New Roman"/>
          <w:color w:val="000000"/>
          <w:sz w:val="24"/>
          <w:szCs w:val="24"/>
          <w:lang w:val="en"/>
        </w:rPr>
        <w:t>The term “people of color” refers to all persons who are not categorized as white by the U.S. Census.</w:t>
      </w:r>
    </w:p>
    <w:p w:rsidR="00F21A03" w:rsidRPr="00010EF6" w:rsidRDefault="00BB0B9C" w:rsidP="00331E7F">
      <w:pPr>
        <w:spacing w:after="0" w:line="240" w:lineRule="auto"/>
        <w:rPr>
          <w:rFonts w:ascii="Arial Narrow" w:hAnsi="Arial Narrow"/>
          <w:b/>
          <w:sz w:val="24"/>
          <w:szCs w:val="24"/>
        </w:rPr>
      </w:pPr>
      <w:r w:rsidRPr="00010EF6">
        <w:rPr>
          <w:rFonts w:ascii="Arial Narrow" w:hAnsi="Arial Narrow"/>
          <w:b/>
          <w:sz w:val="24"/>
          <w:szCs w:val="24"/>
        </w:rPr>
        <w:t>S</w:t>
      </w:r>
      <w:r w:rsidR="00F21A03" w:rsidRPr="00010EF6">
        <w:rPr>
          <w:rFonts w:ascii="Arial Narrow" w:hAnsi="Arial Narrow"/>
          <w:b/>
          <w:sz w:val="24"/>
          <w:szCs w:val="24"/>
        </w:rPr>
        <w:t>ubmission Information</w:t>
      </w:r>
    </w:p>
    <w:p w:rsidR="00F12035" w:rsidRPr="00010EF6" w:rsidRDefault="00F12035" w:rsidP="00331E7F">
      <w:pPr>
        <w:spacing w:after="0" w:line="240" w:lineRule="auto"/>
        <w:rPr>
          <w:rFonts w:ascii="Arial Narrow" w:hAnsi="Arial Narrow"/>
          <w:sz w:val="24"/>
          <w:szCs w:val="24"/>
        </w:rPr>
      </w:pPr>
      <w:r w:rsidRPr="00010EF6">
        <w:rPr>
          <w:rFonts w:ascii="Arial Narrow" w:hAnsi="Arial Narrow"/>
          <w:sz w:val="24"/>
          <w:szCs w:val="24"/>
        </w:rPr>
        <w:t>A complete application must be submitted by</w:t>
      </w:r>
      <w:r w:rsidR="005E13D6" w:rsidRPr="00010EF6">
        <w:rPr>
          <w:rFonts w:ascii="Arial Narrow" w:hAnsi="Arial Narrow"/>
          <w:sz w:val="24"/>
          <w:szCs w:val="24"/>
        </w:rPr>
        <w:t xml:space="preserve"> 5</w:t>
      </w:r>
      <w:r w:rsidR="00E11966">
        <w:rPr>
          <w:rFonts w:ascii="Arial Narrow" w:hAnsi="Arial Narrow"/>
          <w:sz w:val="24"/>
          <w:szCs w:val="24"/>
        </w:rPr>
        <w:t xml:space="preserve"> </w:t>
      </w:r>
      <w:r w:rsidR="005E13D6" w:rsidRPr="00010EF6">
        <w:rPr>
          <w:rFonts w:ascii="Arial Narrow" w:hAnsi="Arial Narrow"/>
          <w:sz w:val="24"/>
          <w:szCs w:val="24"/>
        </w:rPr>
        <w:t>p</w:t>
      </w:r>
      <w:r w:rsidR="00E11966">
        <w:rPr>
          <w:rFonts w:ascii="Arial Narrow" w:hAnsi="Arial Narrow"/>
          <w:sz w:val="24"/>
          <w:szCs w:val="24"/>
        </w:rPr>
        <w:t>.</w:t>
      </w:r>
      <w:r w:rsidR="005E13D6" w:rsidRPr="00010EF6">
        <w:rPr>
          <w:rFonts w:ascii="Arial Narrow" w:hAnsi="Arial Narrow"/>
          <w:sz w:val="24"/>
          <w:szCs w:val="24"/>
        </w:rPr>
        <w:t>m</w:t>
      </w:r>
      <w:r w:rsidR="00E11966">
        <w:rPr>
          <w:rFonts w:ascii="Arial Narrow" w:hAnsi="Arial Narrow"/>
          <w:sz w:val="24"/>
          <w:szCs w:val="24"/>
        </w:rPr>
        <w:t>.</w:t>
      </w:r>
      <w:r w:rsidR="000C5D0F">
        <w:rPr>
          <w:rFonts w:ascii="Arial Narrow" w:hAnsi="Arial Narrow"/>
          <w:sz w:val="24"/>
          <w:szCs w:val="24"/>
        </w:rPr>
        <w:t xml:space="preserve"> </w:t>
      </w:r>
      <w:r w:rsidR="00F83323">
        <w:rPr>
          <w:rFonts w:ascii="Arial Narrow" w:hAnsi="Arial Narrow"/>
          <w:sz w:val="24"/>
          <w:szCs w:val="24"/>
        </w:rPr>
        <w:t>July 2, 2018</w:t>
      </w:r>
      <w:r w:rsidR="005E13D6" w:rsidRPr="00010EF6">
        <w:rPr>
          <w:rFonts w:ascii="Arial Narrow" w:hAnsi="Arial Narrow"/>
          <w:sz w:val="24"/>
          <w:szCs w:val="24"/>
        </w:rPr>
        <w:t xml:space="preserve"> or </w:t>
      </w:r>
      <w:r w:rsidR="00F83323">
        <w:rPr>
          <w:rFonts w:ascii="Arial Narrow" w:hAnsi="Arial Narrow"/>
          <w:sz w:val="24"/>
          <w:szCs w:val="24"/>
        </w:rPr>
        <w:t>August 3, 2018</w:t>
      </w:r>
      <w:r w:rsidRPr="00010EF6">
        <w:rPr>
          <w:rFonts w:ascii="Arial Narrow" w:hAnsi="Arial Narrow"/>
          <w:sz w:val="24"/>
          <w:szCs w:val="24"/>
        </w:rPr>
        <w:t>. Late or incomplete will not be considered.</w:t>
      </w:r>
    </w:p>
    <w:p w:rsidR="00010EF6" w:rsidRPr="00010EF6" w:rsidRDefault="00010EF6" w:rsidP="004F302F">
      <w:pPr>
        <w:rPr>
          <w:rFonts w:ascii="Arial Narrow" w:hAnsi="Arial Narrow"/>
          <w:sz w:val="24"/>
          <w:szCs w:val="24"/>
        </w:rPr>
      </w:pPr>
    </w:p>
    <w:p w:rsidR="00F21A03" w:rsidRPr="00010EF6" w:rsidRDefault="00F21A03" w:rsidP="004F302F">
      <w:pPr>
        <w:rPr>
          <w:rFonts w:ascii="Arial Narrow" w:hAnsi="Arial Narrow"/>
          <w:b/>
          <w:sz w:val="24"/>
          <w:szCs w:val="24"/>
        </w:rPr>
      </w:pPr>
      <w:r w:rsidRPr="00010EF6">
        <w:rPr>
          <w:rFonts w:ascii="Arial Narrow" w:hAnsi="Arial Narrow"/>
          <w:b/>
          <w:sz w:val="24"/>
          <w:szCs w:val="24"/>
        </w:rPr>
        <w:t>Grant Application Timeline</w:t>
      </w:r>
    </w:p>
    <w:tbl>
      <w:tblPr>
        <w:tblStyle w:val="LightShading-Accent1"/>
        <w:tblW w:w="0" w:type="auto"/>
        <w:tblLook w:val="04A0" w:firstRow="1" w:lastRow="0" w:firstColumn="1" w:lastColumn="0" w:noHBand="0" w:noVBand="1"/>
      </w:tblPr>
      <w:tblGrid>
        <w:gridCol w:w="2178"/>
        <w:gridCol w:w="7398"/>
      </w:tblGrid>
      <w:tr w:rsidR="00F21A03" w:rsidRPr="00010EF6" w:rsidTr="008573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Pr>
          <w:p w:rsidR="00F21A03" w:rsidRDefault="007D4EFA" w:rsidP="007D4EFA">
            <w:pPr>
              <w:rPr>
                <w:rFonts w:ascii="Arial Narrow" w:hAnsi="Arial Narrow"/>
                <w:sz w:val="24"/>
                <w:szCs w:val="24"/>
              </w:rPr>
            </w:pPr>
            <w:r>
              <w:rPr>
                <w:rFonts w:ascii="Arial Narrow" w:hAnsi="Arial Narrow"/>
                <w:sz w:val="24"/>
                <w:szCs w:val="24"/>
              </w:rPr>
              <w:t>June</w:t>
            </w:r>
            <w:r w:rsidR="00010EF6" w:rsidRPr="00010EF6">
              <w:rPr>
                <w:rFonts w:ascii="Arial Narrow" w:hAnsi="Arial Narrow"/>
                <w:sz w:val="24"/>
                <w:szCs w:val="24"/>
              </w:rPr>
              <w:t xml:space="preserve"> 1</w:t>
            </w:r>
            <w:r>
              <w:rPr>
                <w:rFonts w:ascii="Arial Narrow" w:hAnsi="Arial Narrow"/>
                <w:sz w:val="24"/>
                <w:szCs w:val="24"/>
              </w:rPr>
              <w:t>5</w:t>
            </w:r>
            <w:r w:rsidR="00F21A03" w:rsidRPr="00010EF6">
              <w:rPr>
                <w:rFonts w:ascii="Arial Narrow" w:hAnsi="Arial Narrow"/>
                <w:sz w:val="24"/>
                <w:szCs w:val="24"/>
              </w:rPr>
              <w:t>,</w:t>
            </w:r>
            <w:r>
              <w:rPr>
                <w:rFonts w:ascii="Arial Narrow" w:hAnsi="Arial Narrow"/>
                <w:sz w:val="24"/>
                <w:szCs w:val="24"/>
              </w:rPr>
              <w:t xml:space="preserve"> </w:t>
            </w:r>
            <w:r w:rsidR="00F21A03" w:rsidRPr="00010EF6">
              <w:rPr>
                <w:rFonts w:ascii="Arial Narrow" w:hAnsi="Arial Narrow"/>
                <w:sz w:val="24"/>
                <w:szCs w:val="24"/>
              </w:rPr>
              <w:t>201</w:t>
            </w:r>
            <w:r>
              <w:rPr>
                <w:rFonts w:ascii="Arial Narrow" w:hAnsi="Arial Narrow"/>
                <w:sz w:val="24"/>
                <w:szCs w:val="24"/>
              </w:rPr>
              <w:t>8 or</w:t>
            </w:r>
          </w:p>
          <w:p w:rsidR="007D4EFA" w:rsidRPr="00010EF6" w:rsidRDefault="007D4EFA" w:rsidP="007D4EFA">
            <w:pPr>
              <w:rPr>
                <w:rFonts w:ascii="Arial Narrow" w:hAnsi="Arial Narrow"/>
                <w:sz w:val="24"/>
                <w:szCs w:val="24"/>
              </w:rPr>
            </w:pPr>
            <w:r>
              <w:rPr>
                <w:rFonts w:ascii="Arial Narrow" w:hAnsi="Arial Narrow"/>
                <w:sz w:val="24"/>
                <w:szCs w:val="24"/>
              </w:rPr>
              <w:t>July 2, 2018</w:t>
            </w:r>
          </w:p>
        </w:tc>
        <w:tc>
          <w:tcPr>
            <w:tcW w:w="7398" w:type="dxa"/>
            <w:vAlign w:val="bottom"/>
          </w:tcPr>
          <w:p w:rsidR="00F21A03" w:rsidRPr="00010EF6" w:rsidRDefault="00F21A03" w:rsidP="0085737E">
            <w:pPr>
              <w:cnfStyle w:val="100000000000" w:firstRow="1" w:lastRow="0" w:firstColumn="0" w:lastColumn="0" w:oddVBand="0" w:evenVBand="0" w:oddHBand="0" w:evenHBand="0" w:firstRowFirstColumn="0" w:firstRowLastColumn="0" w:lastRowFirstColumn="0" w:lastRowLastColumn="0"/>
              <w:rPr>
                <w:rFonts w:ascii="Arial Narrow" w:hAnsi="Arial Narrow"/>
                <w:sz w:val="24"/>
                <w:szCs w:val="24"/>
              </w:rPr>
            </w:pPr>
            <w:r w:rsidRPr="00010EF6">
              <w:rPr>
                <w:rFonts w:ascii="Arial Narrow" w:hAnsi="Arial Narrow"/>
                <w:sz w:val="24"/>
                <w:szCs w:val="24"/>
              </w:rPr>
              <w:t>Application Period begins</w:t>
            </w:r>
          </w:p>
        </w:tc>
      </w:tr>
      <w:tr w:rsidR="00010EF6" w:rsidRPr="00010EF6" w:rsidTr="00F833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Borders>
              <w:top w:val="single" w:sz="8" w:space="0" w:color="4F81BD" w:themeColor="accent1"/>
              <w:bottom w:val="single" w:sz="8" w:space="0" w:color="4F81BD" w:themeColor="accent1"/>
            </w:tcBorders>
          </w:tcPr>
          <w:p w:rsidR="00010EF6" w:rsidRPr="00010EF6" w:rsidRDefault="007D4EFA" w:rsidP="00010EF6">
            <w:pPr>
              <w:rPr>
                <w:rFonts w:ascii="Arial Narrow" w:hAnsi="Arial Narrow"/>
                <w:sz w:val="24"/>
                <w:szCs w:val="24"/>
              </w:rPr>
            </w:pPr>
            <w:r>
              <w:rPr>
                <w:rFonts w:ascii="Arial Narrow" w:hAnsi="Arial Narrow"/>
                <w:sz w:val="24"/>
                <w:szCs w:val="24"/>
              </w:rPr>
              <w:t>July 2, 2018</w:t>
            </w:r>
            <w:r w:rsidR="000C5D0F">
              <w:rPr>
                <w:rFonts w:ascii="Arial Narrow" w:hAnsi="Arial Narrow"/>
                <w:sz w:val="24"/>
                <w:szCs w:val="24"/>
              </w:rPr>
              <w:t xml:space="preserve"> </w:t>
            </w:r>
            <w:r>
              <w:rPr>
                <w:rFonts w:ascii="Arial Narrow" w:hAnsi="Arial Narrow"/>
                <w:sz w:val="24"/>
                <w:szCs w:val="24"/>
              </w:rPr>
              <w:t>and</w:t>
            </w:r>
          </w:p>
          <w:p w:rsidR="00010EF6" w:rsidRPr="00010EF6" w:rsidRDefault="007D4EFA" w:rsidP="007D4EFA">
            <w:pPr>
              <w:rPr>
                <w:rFonts w:ascii="Arial Narrow" w:hAnsi="Arial Narrow"/>
                <w:sz w:val="24"/>
                <w:szCs w:val="24"/>
              </w:rPr>
            </w:pPr>
            <w:r>
              <w:rPr>
                <w:rFonts w:ascii="Arial Narrow" w:hAnsi="Arial Narrow"/>
                <w:sz w:val="24"/>
                <w:szCs w:val="24"/>
              </w:rPr>
              <w:t>August 3</w:t>
            </w:r>
            <w:r w:rsidR="00010EF6" w:rsidRPr="00010EF6">
              <w:rPr>
                <w:rFonts w:ascii="Arial Narrow" w:hAnsi="Arial Narrow"/>
                <w:sz w:val="24"/>
                <w:szCs w:val="24"/>
              </w:rPr>
              <w:t>, 201</w:t>
            </w:r>
            <w:r>
              <w:rPr>
                <w:rFonts w:ascii="Arial Narrow" w:hAnsi="Arial Narrow"/>
                <w:sz w:val="24"/>
                <w:szCs w:val="24"/>
              </w:rPr>
              <w:t>8</w:t>
            </w:r>
          </w:p>
        </w:tc>
        <w:tc>
          <w:tcPr>
            <w:tcW w:w="7398" w:type="dxa"/>
            <w:tcBorders>
              <w:top w:val="single" w:sz="8" w:space="0" w:color="4F81BD" w:themeColor="accent1"/>
              <w:bottom w:val="single" w:sz="8" w:space="0" w:color="4F81BD" w:themeColor="accent1"/>
            </w:tcBorders>
          </w:tcPr>
          <w:p w:rsidR="000C5D0F" w:rsidRDefault="000C5D0F" w:rsidP="000C5D0F">
            <w:pPr>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p>
          <w:p w:rsidR="00010EF6" w:rsidRPr="00010EF6" w:rsidRDefault="00010EF6" w:rsidP="000C5D0F">
            <w:pPr>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r w:rsidRPr="00010EF6">
              <w:rPr>
                <w:rFonts w:ascii="Arial Narrow" w:hAnsi="Arial Narrow"/>
                <w:b/>
                <w:sz w:val="24"/>
                <w:szCs w:val="24"/>
              </w:rPr>
              <w:t>Applications due to the Greater Milwaukee Foundation</w:t>
            </w:r>
          </w:p>
        </w:tc>
      </w:tr>
      <w:tr w:rsidR="00010EF6" w:rsidRPr="00010EF6" w:rsidTr="00F83323">
        <w:tc>
          <w:tcPr>
            <w:cnfStyle w:val="001000000000" w:firstRow="0" w:lastRow="0" w:firstColumn="1" w:lastColumn="0" w:oddVBand="0" w:evenVBand="0" w:oddHBand="0" w:evenHBand="0" w:firstRowFirstColumn="0" w:firstRowLastColumn="0" w:lastRowFirstColumn="0" w:lastRowLastColumn="0"/>
            <w:tcW w:w="2178" w:type="dxa"/>
            <w:tcBorders>
              <w:top w:val="single" w:sz="8" w:space="0" w:color="4F81BD" w:themeColor="accent1"/>
            </w:tcBorders>
          </w:tcPr>
          <w:p w:rsidR="00010EF6" w:rsidRPr="00F83323" w:rsidRDefault="00F83323" w:rsidP="00436873">
            <w:pPr>
              <w:rPr>
                <w:rFonts w:ascii="Arial Narrow" w:hAnsi="Arial Narrow"/>
                <w:sz w:val="24"/>
                <w:szCs w:val="24"/>
              </w:rPr>
            </w:pPr>
            <w:r w:rsidRPr="00F83323">
              <w:rPr>
                <w:rFonts w:ascii="Arial Narrow" w:hAnsi="Arial Narrow"/>
                <w:sz w:val="24"/>
                <w:szCs w:val="24"/>
              </w:rPr>
              <w:t>July 20, 2018 or</w:t>
            </w:r>
          </w:p>
          <w:p w:rsidR="00F83323" w:rsidRPr="00010EF6" w:rsidRDefault="00F83323" w:rsidP="00436873">
            <w:pPr>
              <w:rPr>
                <w:rFonts w:ascii="Arial Narrow" w:hAnsi="Arial Narrow"/>
                <w:sz w:val="24"/>
                <w:szCs w:val="24"/>
              </w:rPr>
            </w:pPr>
            <w:r w:rsidRPr="00F83323">
              <w:rPr>
                <w:rFonts w:ascii="Arial Narrow" w:hAnsi="Arial Narrow"/>
                <w:sz w:val="24"/>
                <w:szCs w:val="24"/>
              </w:rPr>
              <w:t>August 17, 2018</w:t>
            </w:r>
          </w:p>
        </w:tc>
        <w:tc>
          <w:tcPr>
            <w:tcW w:w="7398" w:type="dxa"/>
            <w:tcBorders>
              <w:top w:val="single" w:sz="8" w:space="0" w:color="4F81BD" w:themeColor="accent1"/>
            </w:tcBorders>
          </w:tcPr>
          <w:p w:rsidR="000C5D0F" w:rsidRDefault="000C5D0F" w:rsidP="000C5D0F">
            <w:pPr>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p>
          <w:p w:rsidR="00010EF6" w:rsidRPr="00010EF6" w:rsidRDefault="00010EF6" w:rsidP="000C5D0F">
            <w:pPr>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r w:rsidRPr="00010EF6">
              <w:rPr>
                <w:rFonts w:ascii="Arial Narrow" w:hAnsi="Arial Narrow"/>
                <w:b/>
                <w:sz w:val="24"/>
                <w:szCs w:val="24"/>
              </w:rPr>
              <w:t>Applicants notified of final funding decision</w:t>
            </w:r>
          </w:p>
        </w:tc>
      </w:tr>
    </w:tbl>
    <w:p w:rsidR="00F21A03" w:rsidRPr="00010EF6" w:rsidRDefault="00F21A03" w:rsidP="004F302F">
      <w:pPr>
        <w:rPr>
          <w:rFonts w:ascii="Arial Narrow" w:hAnsi="Arial Narrow"/>
        </w:rPr>
      </w:pPr>
    </w:p>
    <w:sectPr w:rsidR="00F21A03" w:rsidRPr="00010E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Myriad Pro"/>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955DE"/>
    <w:multiLevelType w:val="hybridMultilevel"/>
    <w:tmpl w:val="FFEA5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C73C80"/>
    <w:multiLevelType w:val="hybridMultilevel"/>
    <w:tmpl w:val="6D688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477AAF"/>
    <w:multiLevelType w:val="hybridMultilevel"/>
    <w:tmpl w:val="0A862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940BFD"/>
    <w:multiLevelType w:val="hybridMultilevel"/>
    <w:tmpl w:val="4E685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844193"/>
    <w:multiLevelType w:val="hybridMultilevel"/>
    <w:tmpl w:val="B680D9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67F5632"/>
    <w:multiLevelType w:val="hybridMultilevel"/>
    <w:tmpl w:val="1AA0B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1D50AF"/>
    <w:multiLevelType w:val="hybridMultilevel"/>
    <w:tmpl w:val="054ED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853E66"/>
    <w:multiLevelType w:val="hybridMultilevel"/>
    <w:tmpl w:val="EAF44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7"/>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817"/>
    <w:rsid w:val="00010EF6"/>
    <w:rsid w:val="000A4D91"/>
    <w:rsid w:val="000A5A0B"/>
    <w:rsid w:val="000B423E"/>
    <w:rsid w:val="000C0A97"/>
    <w:rsid w:val="000C5D0F"/>
    <w:rsid w:val="000D64F2"/>
    <w:rsid w:val="000F2496"/>
    <w:rsid w:val="00100DBC"/>
    <w:rsid w:val="00117DB8"/>
    <w:rsid w:val="00136AC5"/>
    <w:rsid w:val="001660F9"/>
    <w:rsid w:val="00174B20"/>
    <w:rsid w:val="00182BB8"/>
    <w:rsid w:val="001C5258"/>
    <w:rsid w:val="001D720B"/>
    <w:rsid w:val="001D7CB3"/>
    <w:rsid w:val="001E7D01"/>
    <w:rsid w:val="00264AA6"/>
    <w:rsid w:val="002C3D73"/>
    <w:rsid w:val="00331E7F"/>
    <w:rsid w:val="00370E56"/>
    <w:rsid w:val="00391970"/>
    <w:rsid w:val="003C1F1F"/>
    <w:rsid w:val="003C5BD5"/>
    <w:rsid w:val="00405950"/>
    <w:rsid w:val="00472143"/>
    <w:rsid w:val="004809C8"/>
    <w:rsid w:val="004840F2"/>
    <w:rsid w:val="004A604F"/>
    <w:rsid w:val="004E3791"/>
    <w:rsid w:val="004F302F"/>
    <w:rsid w:val="004F7344"/>
    <w:rsid w:val="00506F4C"/>
    <w:rsid w:val="00524193"/>
    <w:rsid w:val="00526F1E"/>
    <w:rsid w:val="0053768B"/>
    <w:rsid w:val="0054054B"/>
    <w:rsid w:val="00543305"/>
    <w:rsid w:val="005925F2"/>
    <w:rsid w:val="005C4497"/>
    <w:rsid w:val="005E13D6"/>
    <w:rsid w:val="005E5170"/>
    <w:rsid w:val="005F5982"/>
    <w:rsid w:val="005F68BD"/>
    <w:rsid w:val="00601525"/>
    <w:rsid w:val="0060683B"/>
    <w:rsid w:val="006854CE"/>
    <w:rsid w:val="00702DC6"/>
    <w:rsid w:val="0074380A"/>
    <w:rsid w:val="00751327"/>
    <w:rsid w:val="00774DF5"/>
    <w:rsid w:val="007A0AA7"/>
    <w:rsid w:val="007D069B"/>
    <w:rsid w:val="007D4EFA"/>
    <w:rsid w:val="008070E2"/>
    <w:rsid w:val="00822504"/>
    <w:rsid w:val="0085212A"/>
    <w:rsid w:val="00854538"/>
    <w:rsid w:val="0085737E"/>
    <w:rsid w:val="008A536C"/>
    <w:rsid w:val="008B6BBF"/>
    <w:rsid w:val="008D5373"/>
    <w:rsid w:val="008E5565"/>
    <w:rsid w:val="00921239"/>
    <w:rsid w:val="009427D3"/>
    <w:rsid w:val="009828C4"/>
    <w:rsid w:val="009C4E86"/>
    <w:rsid w:val="009F4168"/>
    <w:rsid w:val="00A0082C"/>
    <w:rsid w:val="00A02CAD"/>
    <w:rsid w:val="00A3286C"/>
    <w:rsid w:val="00A55E9F"/>
    <w:rsid w:val="00A73A66"/>
    <w:rsid w:val="00A8222E"/>
    <w:rsid w:val="00AA080B"/>
    <w:rsid w:val="00B06D5B"/>
    <w:rsid w:val="00BB0B9C"/>
    <w:rsid w:val="00BD79EF"/>
    <w:rsid w:val="00BF798A"/>
    <w:rsid w:val="00C22C12"/>
    <w:rsid w:val="00C53817"/>
    <w:rsid w:val="00C53F22"/>
    <w:rsid w:val="00CC758E"/>
    <w:rsid w:val="00D152AB"/>
    <w:rsid w:val="00D20FE8"/>
    <w:rsid w:val="00D52683"/>
    <w:rsid w:val="00DC633B"/>
    <w:rsid w:val="00DC6A51"/>
    <w:rsid w:val="00DD2DA7"/>
    <w:rsid w:val="00DD5C10"/>
    <w:rsid w:val="00DF03A1"/>
    <w:rsid w:val="00DF7E51"/>
    <w:rsid w:val="00E11966"/>
    <w:rsid w:val="00E129AA"/>
    <w:rsid w:val="00E14CF7"/>
    <w:rsid w:val="00E34929"/>
    <w:rsid w:val="00EB5661"/>
    <w:rsid w:val="00F0401A"/>
    <w:rsid w:val="00F12035"/>
    <w:rsid w:val="00F203D8"/>
    <w:rsid w:val="00F21A03"/>
    <w:rsid w:val="00F35A56"/>
    <w:rsid w:val="00F47B64"/>
    <w:rsid w:val="00F565A7"/>
    <w:rsid w:val="00F83323"/>
    <w:rsid w:val="00FA36BF"/>
    <w:rsid w:val="00FB227B"/>
    <w:rsid w:val="00FB6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C53817"/>
    <w:pPr>
      <w:spacing w:before="100" w:beforeAutospacing="1" w:after="100" w:afterAutospacing="1" w:line="240" w:lineRule="auto"/>
    </w:pPr>
    <w:rPr>
      <w:rFonts w:ascii="Times New Roman" w:hAnsi="Times New Roman" w:cs="Times New Roman"/>
      <w:sz w:val="24"/>
      <w:szCs w:val="24"/>
    </w:rPr>
  </w:style>
  <w:style w:type="table" w:styleId="TableGrid">
    <w:name w:val="Table Grid"/>
    <w:basedOn w:val="TableNormal"/>
    <w:uiPriority w:val="59"/>
    <w:rsid w:val="004840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40F2"/>
    <w:rPr>
      <w:color w:val="0000FF" w:themeColor="hyperlink"/>
      <w:u w:val="single"/>
    </w:rPr>
  </w:style>
  <w:style w:type="table" w:styleId="LightShading-Accent1">
    <w:name w:val="Light Shading Accent 1"/>
    <w:basedOn w:val="TableNormal"/>
    <w:uiPriority w:val="60"/>
    <w:rsid w:val="00F21A0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543305"/>
    <w:pPr>
      <w:ind w:left="720"/>
      <w:contextualSpacing/>
    </w:pPr>
  </w:style>
  <w:style w:type="paragraph" w:customStyle="1" w:styleId="Default">
    <w:name w:val="Default"/>
    <w:rsid w:val="00DF03A1"/>
    <w:pPr>
      <w:autoSpaceDE w:val="0"/>
      <w:autoSpaceDN w:val="0"/>
      <w:adjustRightInd w:val="0"/>
      <w:spacing w:after="0" w:line="240" w:lineRule="auto"/>
    </w:pPr>
    <w:rPr>
      <w:rFonts w:ascii="Myriad Pro" w:hAnsi="Myriad Pro" w:cs="Myriad Pro"/>
      <w:color w:val="000000"/>
      <w:sz w:val="24"/>
      <w:szCs w:val="24"/>
    </w:rPr>
  </w:style>
  <w:style w:type="paragraph" w:styleId="NormalWeb">
    <w:name w:val="Normal (Web)"/>
    <w:basedOn w:val="Normal"/>
    <w:uiPriority w:val="99"/>
    <w:semiHidden/>
    <w:unhideWhenUsed/>
    <w:rsid w:val="00702DC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A60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04F"/>
    <w:rPr>
      <w:rFonts w:ascii="Tahoma" w:hAnsi="Tahoma" w:cs="Tahoma"/>
      <w:sz w:val="16"/>
      <w:szCs w:val="16"/>
    </w:rPr>
  </w:style>
  <w:style w:type="character" w:styleId="Strong">
    <w:name w:val="Strong"/>
    <w:basedOn w:val="DefaultParagraphFont"/>
    <w:uiPriority w:val="22"/>
    <w:qFormat/>
    <w:rsid w:val="005E13D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C53817"/>
    <w:pPr>
      <w:spacing w:before="100" w:beforeAutospacing="1" w:after="100" w:afterAutospacing="1" w:line="240" w:lineRule="auto"/>
    </w:pPr>
    <w:rPr>
      <w:rFonts w:ascii="Times New Roman" w:hAnsi="Times New Roman" w:cs="Times New Roman"/>
      <w:sz w:val="24"/>
      <w:szCs w:val="24"/>
    </w:rPr>
  </w:style>
  <w:style w:type="table" w:styleId="TableGrid">
    <w:name w:val="Table Grid"/>
    <w:basedOn w:val="TableNormal"/>
    <w:uiPriority w:val="59"/>
    <w:rsid w:val="004840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40F2"/>
    <w:rPr>
      <w:color w:val="0000FF" w:themeColor="hyperlink"/>
      <w:u w:val="single"/>
    </w:rPr>
  </w:style>
  <w:style w:type="table" w:styleId="LightShading-Accent1">
    <w:name w:val="Light Shading Accent 1"/>
    <w:basedOn w:val="TableNormal"/>
    <w:uiPriority w:val="60"/>
    <w:rsid w:val="00F21A0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543305"/>
    <w:pPr>
      <w:ind w:left="720"/>
      <w:contextualSpacing/>
    </w:pPr>
  </w:style>
  <w:style w:type="paragraph" w:customStyle="1" w:styleId="Default">
    <w:name w:val="Default"/>
    <w:rsid w:val="00DF03A1"/>
    <w:pPr>
      <w:autoSpaceDE w:val="0"/>
      <w:autoSpaceDN w:val="0"/>
      <w:adjustRightInd w:val="0"/>
      <w:spacing w:after="0" w:line="240" w:lineRule="auto"/>
    </w:pPr>
    <w:rPr>
      <w:rFonts w:ascii="Myriad Pro" w:hAnsi="Myriad Pro" w:cs="Myriad Pro"/>
      <w:color w:val="000000"/>
      <w:sz w:val="24"/>
      <w:szCs w:val="24"/>
    </w:rPr>
  </w:style>
  <w:style w:type="paragraph" w:styleId="NormalWeb">
    <w:name w:val="Normal (Web)"/>
    <w:basedOn w:val="Normal"/>
    <w:uiPriority w:val="99"/>
    <w:semiHidden/>
    <w:unhideWhenUsed/>
    <w:rsid w:val="00702DC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A60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04F"/>
    <w:rPr>
      <w:rFonts w:ascii="Tahoma" w:hAnsi="Tahoma" w:cs="Tahoma"/>
      <w:sz w:val="16"/>
      <w:szCs w:val="16"/>
    </w:rPr>
  </w:style>
  <w:style w:type="character" w:styleId="Strong">
    <w:name w:val="Strong"/>
    <w:basedOn w:val="DefaultParagraphFont"/>
    <w:uiPriority w:val="22"/>
    <w:qFormat/>
    <w:rsid w:val="005E13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800596">
      <w:bodyDiv w:val="1"/>
      <w:marLeft w:val="0"/>
      <w:marRight w:val="0"/>
      <w:marTop w:val="0"/>
      <w:marBottom w:val="0"/>
      <w:divBdr>
        <w:top w:val="none" w:sz="0" w:space="0" w:color="auto"/>
        <w:left w:val="none" w:sz="0" w:space="0" w:color="auto"/>
        <w:bottom w:val="none" w:sz="0" w:space="0" w:color="auto"/>
        <w:right w:val="none" w:sz="0" w:space="0" w:color="auto"/>
      </w:divBdr>
      <w:divsChild>
        <w:div w:id="274294605">
          <w:marLeft w:val="0"/>
          <w:marRight w:val="0"/>
          <w:marTop w:val="0"/>
          <w:marBottom w:val="0"/>
          <w:divBdr>
            <w:top w:val="none" w:sz="0" w:space="0" w:color="auto"/>
            <w:left w:val="none" w:sz="0" w:space="0" w:color="auto"/>
            <w:bottom w:val="none" w:sz="0" w:space="0" w:color="auto"/>
            <w:right w:val="none" w:sz="0" w:space="0" w:color="auto"/>
          </w:divBdr>
          <w:divsChild>
            <w:div w:id="532572718">
              <w:marLeft w:val="0"/>
              <w:marRight w:val="0"/>
              <w:marTop w:val="0"/>
              <w:marBottom w:val="0"/>
              <w:divBdr>
                <w:top w:val="none" w:sz="0" w:space="0" w:color="auto"/>
                <w:left w:val="none" w:sz="0" w:space="0" w:color="auto"/>
                <w:bottom w:val="none" w:sz="0" w:space="0" w:color="auto"/>
                <w:right w:val="none" w:sz="0" w:space="0" w:color="auto"/>
              </w:divBdr>
              <w:divsChild>
                <w:div w:id="182735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247549">
      <w:bodyDiv w:val="1"/>
      <w:marLeft w:val="0"/>
      <w:marRight w:val="0"/>
      <w:marTop w:val="0"/>
      <w:marBottom w:val="0"/>
      <w:divBdr>
        <w:top w:val="none" w:sz="0" w:space="0" w:color="auto"/>
        <w:left w:val="none" w:sz="0" w:space="0" w:color="auto"/>
        <w:bottom w:val="none" w:sz="0" w:space="0" w:color="auto"/>
        <w:right w:val="none" w:sz="0" w:space="0" w:color="auto"/>
      </w:divBdr>
    </w:div>
    <w:div w:id="1201239372">
      <w:bodyDiv w:val="1"/>
      <w:marLeft w:val="0"/>
      <w:marRight w:val="0"/>
      <w:marTop w:val="0"/>
      <w:marBottom w:val="0"/>
      <w:divBdr>
        <w:top w:val="none" w:sz="0" w:space="0" w:color="auto"/>
        <w:left w:val="none" w:sz="0" w:space="0" w:color="auto"/>
        <w:bottom w:val="none" w:sz="0" w:space="0" w:color="auto"/>
        <w:right w:val="none" w:sz="0" w:space="0" w:color="auto"/>
      </w:divBdr>
    </w:div>
    <w:div w:id="1584683876">
      <w:bodyDiv w:val="1"/>
      <w:marLeft w:val="0"/>
      <w:marRight w:val="0"/>
      <w:marTop w:val="0"/>
      <w:marBottom w:val="0"/>
      <w:divBdr>
        <w:top w:val="none" w:sz="0" w:space="0" w:color="auto"/>
        <w:left w:val="none" w:sz="0" w:space="0" w:color="auto"/>
        <w:bottom w:val="none" w:sz="0" w:space="0" w:color="auto"/>
        <w:right w:val="none" w:sz="0" w:space="0" w:color="auto"/>
      </w:divBdr>
      <w:divsChild>
        <w:div w:id="37558530">
          <w:marLeft w:val="0"/>
          <w:marRight w:val="0"/>
          <w:marTop w:val="0"/>
          <w:marBottom w:val="0"/>
          <w:divBdr>
            <w:top w:val="none" w:sz="0" w:space="0" w:color="auto"/>
            <w:left w:val="none" w:sz="0" w:space="0" w:color="auto"/>
            <w:bottom w:val="none" w:sz="0" w:space="0" w:color="auto"/>
            <w:right w:val="none" w:sz="0" w:space="0" w:color="auto"/>
          </w:divBdr>
          <w:divsChild>
            <w:div w:id="345637454">
              <w:marLeft w:val="0"/>
              <w:marRight w:val="0"/>
              <w:marTop w:val="0"/>
              <w:marBottom w:val="0"/>
              <w:divBdr>
                <w:top w:val="none" w:sz="0" w:space="0" w:color="auto"/>
                <w:left w:val="none" w:sz="0" w:space="0" w:color="auto"/>
                <w:bottom w:val="none" w:sz="0" w:space="0" w:color="auto"/>
                <w:right w:val="none" w:sz="0" w:space="0" w:color="auto"/>
              </w:divBdr>
              <w:divsChild>
                <w:div w:id="75716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12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atermilwaukeefoundation.org/community-leadership/healthy-neighborhoods/" TargetMode="External"/><Relationship Id="rId3" Type="http://schemas.openxmlformats.org/officeDocument/2006/relationships/styles" Target="styles.xml"/><Relationship Id="rId7" Type="http://schemas.openxmlformats.org/officeDocument/2006/relationships/hyperlink" Target="mailto:drussell@greatermilwaukeefoundation.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BC2C0-47EC-416D-A402-0C095C8FF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900</Words>
  <Characters>5133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Darlene Russell</dc:creator>
  <cp:lastModifiedBy>Liliane McFarlane</cp:lastModifiedBy>
  <cp:revision>6</cp:revision>
  <cp:lastPrinted>2017-02-21T22:25:00Z</cp:lastPrinted>
  <dcterms:created xsi:type="dcterms:W3CDTF">2018-06-14T19:38:00Z</dcterms:created>
  <dcterms:modified xsi:type="dcterms:W3CDTF">2018-06-15T15:25:00Z</dcterms:modified>
</cp:coreProperties>
</file>